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FFCF8">
      <w:pPr>
        <w:pStyle w:val="3"/>
        <w:ind w:firstLine="602"/>
        <w:jc w:val="center"/>
        <w:rPr>
          <w:rFonts w:hint="eastAsia"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</w:rPr>
        <w:t>一次性病毒灭活过滤器</w:t>
      </w:r>
      <w:r>
        <w:rPr>
          <w:rFonts w:hint="eastAsia"/>
          <w:sz w:val="36"/>
          <w:szCs w:val="36"/>
        </w:rPr>
        <w:t>参数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791"/>
        <w:gridCol w:w="7282"/>
      </w:tblGrid>
      <w:tr w14:paraId="3B21E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52673FF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序号</w:t>
            </w:r>
          </w:p>
        </w:tc>
        <w:tc>
          <w:tcPr>
            <w:tcW w:w="791" w:type="dxa"/>
            <w:noWrap/>
            <w:vAlign w:val="center"/>
          </w:tcPr>
          <w:p w14:paraId="32A71BF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项目</w:t>
            </w:r>
          </w:p>
        </w:tc>
        <w:tc>
          <w:tcPr>
            <w:tcW w:w="7282" w:type="dxa"/>
            <w:noWrap/>
            <w:vAlign w:val="center"/>
          </w:tcPr>
          <w:p w14:paraId="24E2078D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标准要求</w:t>
            </w:r>
          </w:p>
        </w:tc>
      </w:tr>
      <w:tr w14:paraId="5C541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27827894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1</w:t>
            </w:r>
          </w:p>
        </w:tc>
        <w:tc>
          <w:tcPr>
            <w:tcW w:w="791" w:type="dxa"/>
            <w:noWrap/>
            <w:vAlign w:val="center"/>
          </w:tcPr>
          <w:p w14:paraId="6B84641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灭菌方式</w:t>
            </w:r>
          </w:p>
        </w:tc>
        <w:tc>
          <w:tcPr>
            <w:tcW w:w="7282" w:type="dxa"/>
            <w:noWrap/>
            <w:vAlign w:val="center"/>
          </w:tcPr>
          <w:p w14:paraId="1CE97CE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高压蒸汽灭菌，确保产品的无菌、无致热原反应</w:t>
            </w:r>
          </w:p>
        </w:tc>
      </w:tr>
      <w:tr w14:paraId="5163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0BE42BA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2</w:t>
            </w:r>
          </w:p>
        </w:tc>
        <w:tc>
          <w:tcPr>
            <w:tcW w:w="791" w:type="dxa"/>
            <w:noWrap/>
            <w:vAlign w:val="center"/>
          </w:tcPr>
          <w:p w14:paraId="4094634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指示病毒灭活效果</w:t>
            </w:r>
          </w:p>
        </w:tc>
        <w:tc>
          <w:tcPr>
            <w:tcW w:w="7282" w:type="dxa"/>
            <w:noWrap/>
            <w:vAlign w:val="center"/>
          </w:tcPr>
          <w:p w14:paraId="3C3700A4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指示病毒灭活效果：VSV≥6logTCID</w:t>
            </w:r>
            <w:r>
              <w:rPr>
                <w:rFonts w:ascii="Calibri" w:hAnsi="Calibri"/>
                <w:sz w:val="24"/>
                <w:szCs w:val="24"/>
              </w:rPr>
              <w:t>₅₀</w:t>
            </w:r>
            <w:r>
              <w:rPr>
                <w:rFonts w:hint="eastAsia" w:ascii="Calibri" w:hAnsi="Calibri"/>
                <w:sz w:val="24"/>
                <w:szCs w:val="24"/>
              </w:rPr>
              <w:t>；Sindbis≥6logTCID</w:t>
            </w:r>
            <w:r>
              <w:rPr>
                <w:rFonts w:ascii="Calibri" w:hAnsi="Calibri"/>
                <w:sz w:val="24"/>
                <w:szCs w:val="24"/>
              </w:rPr>
              <w:t>₅₀</w:t>
            </w:r>
          </w:p>
        </w:tc>
      </w:tr>
      <w:tr w14:paraId="53AB2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59F6800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3</w:t>
            </w:r>
          </w:p>
        </w:tc>
        <w:tc>
          <w:tcPr>
            <w:tcW w:w="791" w:type="dxa"/>
            <w:noWrap/>
            <w:vAlign w:val="center"/>
          </w:tcPr>
          <w:p w14:paraId="12168DD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血浆总蛋白回收率</w:t>
            </w:r>
          </w:p>
        </w:tc>
        <w:tc>
          <w:tcPr>
            <w:tcW w:w="7282" w:type="dxa"/>
            <w:noWrap/>
            <w:vAlign w:val="center"/>
          </w:tcPr>
          <w:p w14:paraId="1FC72AE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血浆总蛋白回收率应不小于</w:t>
            </w:r>
            <w:r>
              <w:rPr>
                <w:rFonts w:hint="eastAsia" w:ascii="Calibri" w:hAnsi="Calibri"/>
                <w:sz w:val="24"/>
                <w:szCs w:val="24"/>
                <w:lang w:val="en-US" w:eastAsia="zh-CN"/>
              </w:rPr>
              <w:t>90</w:t>
            </w:r>
            <w:r>
              <w:rPr>
                <w:rFonts w:hint="eastAsia" w:ascii="Calibri" w:hAnsi="Calibri"/>
                <w:sz w:val="24"/>
                <w:szCs w:val="24"/>
              </w:rPr>
              <w:t>%</w:t>
            </w:r>
          </w:p>
        </w:tc>
      </w:tr>
      <w:tr w14:paraId="4F14A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156172C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vAlign w:val="center"/>
          </w:tcPr>
          <w:p w14:paraId="41A23A9C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FⅧ：C回收率</w:t>
            </w:r>
          </w:p>
        </w:tc>
        <w:tc>
          <w:tcPr>
            <w:tcW w:w="7282" w:type="dxa"/>
            <w:noWrap/>
            <w:vAlign w:val="center"/>
          </w:tcPr>
          <w:p w14:paraId="392AA0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FⅧ：C回收率应不小于70%</w:t>
            </w:r>
          </w:p>
        </w:tc>
      </w:tr>
      <w:tr w14:paraId="5439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0702ED6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5</w:t>
            </w:r>
          </w:p>
        </w:tc>
        <w:tc>
          <w:tcPr>
            <w:tcW w:w="791" w:type="dxa"/>
            <w:noWrap/>
            <w:vAlign w:val="center"/>
          </w:tcPr>
          <w:p w14:paraId="75C1337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亚甲蓝残留量</w:t>
            </w:r>
          </w:p>
        </w:tc>
        <w:tc>
          <w:tcPr>
            <w:tcW w:w="7282" w:type="dxa"/>
            <w:noWrap/>
            <w:vAlign w:val="center"/>
          </w:tcPr>
          <w:p w14:paraId="5067C4C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亚甲蓝残留量应小于处理前亚甲蓝含量的15.0%</w:t>
            </w:r>
          </w:p>
        </w:tc>
      </w:tr>
      <w:tr w14:paraId="5E295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4425954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6</w:t>
            </w:r>
          </w:p>
        </w:tc>
        <w:tc>
          <w:tcPr>
            <w:tcW w:w="791" w:type="dxa"/>
            <w:noWrap/>
            <w:vAlign w:val="center"/>
          </w:tcPr>
          <w:p w14:paraId="52210AEC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外观</w:t>
            </w:r>
          </w:p>
        </w:tc>
        <w:tc>
          <w:tcPr>
            <w:tcW w:w="7282" w:type="dxa"/>
            <w:noWrap/>
            <w:vAlign w:val="center"/>
          </w:tcPr>
          <w:p w14:paraId="69F245FB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  <w:lang w:val="en-US" w:eastAsia="zh-CN"/>
              </w:rPr>
              <w:t>亚甲蓝病毒灭活器材的软管应光洁，无明显机械杂</w:t>
            </w:r>
            <w:r>
              <w:rPr>
                <w:rFonts w:hint="default" w:ascii="Calibri" w:hAnsi="Calibri"/>
                <w:sz w:val="24"/>
                <w:szCs w:val="24"/>
                <w:lang w:val="en-US" w:eastAsia="zh-CN"/>
              </w:rPr>
              <w:t>质、</w:t>
            </w:r>
            <w:bookmarkStart w:id="0" w:name="_GoBack"/>
            <w:bookmarkEnd w:id="0"/>
            <w:r>
              <w:rPr>
                <w:rFonts w:hint="default" w:ascii="Calibri" w:hAnsi="Calibri"/>
                <w:sz w:val="24"/>
                <w:szCs w:val="24"/>
                <w:lang w:val="en-US" w:eastAsia="zh-CN"/>
              </w:rPr>
              <w:t>异物、扭结。过滤部件、亚甲蓝添加元件外壳应光洁，无明显机械杂质、异物，焊接面应均匀、无气泡。过滤后的血浆在颜色、外观上与正常血浆无太明显的差异。</w:t>
            </w:r>
          </w:p>
        </w:tc>
      </w:tr>
      <w:tr w14:paraId="5644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36A06D9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7</w:t>
            </w:r>
          </w:p>
        </w:tc>
        <w:tc>
          <w:tcPr>
            <w:tcW w:w="791" w:type="dxa"/>
            <w:noWrap/>
            <w:vAlign w:val="center"/>
          </w:tcPr>
          <w:p w14:paraId="6777129B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血浆过滤</w:t>
            </w:r>
          </w:p>
        </w:tc>
        <w:tc>
          <w:tcPr>
            <w:tcW w:w="7282" w:type="dxa"/>
            <w:noWrap/>
            <w:vAlign w:val="center"/>
          </w:tcPr>
          <w:p w14:paraId="7D6CBBF2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过滤速度快，节省工作时间，过滤时间 在</w:t>
            </w:r>
            <w:r>
              <w:rPr>
                <w:rFonts w:hint="eastAsia" w:ascii="Calibri" w:hAnsi="Calibri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Calibri" w:hAnsi="Calibri"/>
                <w:sz w:val="24"/>
                <w:szCs w:val="24"/>
              </w:rPr>
              <w:t>-4分钟。</w:t>
            </w:r>
          </w:p>
        </w:tc>
      </w:tr>
      <w:tr w14:paraId="7976C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3D8CC5D1">
            <w:pPr>
              <w:jc w:val="center"/>
              <w:rPr>
                <w:rFonts w:hint="eastAsia" w:ascii="Calibri" w:hAnsi="Calibri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91" w:type="dxa"/>
            <w:noWrap/>
            <w:vAlign w:val="center"/>
          </w:tcPr>
          <w:p w14:paraId="4C0582A0">
            <w:pPr>
              <w:rPr>
                <w:rFonts w:hint="default" w:ascii="Calibri" w:hAnsi="Calibri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  <w:szCs w:val="24"/>
                <w:lang w:val="en-US" w:eastAsia="zh-CN"/>
              </w:rPr>
              <w:t>血浆损耗</w:t>
            </w:r>
          </w:p>
        </w:tc>
        <w:tc>
          <w:tcPr>
            <w:tcW w:w="7282" w:type="dxa"/>
            <w:noWrap/>
            <w:vAlign w:val="center"/>
          </w:tcPr>
          <w:p w14:paraId="7C34A3B0">
            <w:pPr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血浆处理量为1单位的病毒灭活器材，其血浆损失量应不大于12%;血浆处理量大于1单位的病毒灭活器材，其血浆损失量应不大于10%。</w:t>
            </w:r>
          </w:p>
        </w:tc>
      </w:tr>
      <w:tr w14:paraId="3192E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9" w:type="dxa"/>
            <w:noWrap/>
            <w:vAlign w:val="center"/>
          </w:tcPr>
          <w:p w14:paraId="2C87971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8</w:t>
            </w:r>
          </w:p>
        </w:tc>
        <w:tc>
          <w:tcPr>
            <w:tcW w:w="791" w:type="dxa"/>
            <w:noWrap/>
            <w:vAlign w:val="center"/>
          </w:tcPr>
          <w:p w14:paraId="3456460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产品性能</w:t>
            </w:r>
          </w:p>
        </w:tc>
        <w:tc>
          <w:tcPr>
            <w:tcW w:w="7282" w:type="dxa"/>
            <w:noWrap/>
            <w:vAlign w:val="center"/>
          </w:tcPr>
          <w:p w14:paraId="0E72F60F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投标人提供的产品若与采购单位的医用病毒灭活箱不相匹配，须提供产品匹配的医用病毒灭活箱以确保投标产品正常使用。所投配套灭活设备与产品须经验证，并提供</w:t>
            </w:r>
            <w:r>
              <w:rPr>
                <w:rFonts w:hint="eastAsia" w:ascii="Calibri" w:hAnsi="Calibri"/>
                <w:color w:val="auto"/>
                <w:sz w:val="24"/>
                <w:szCs w:val="24"/>
              </w:rPr>
              <w:t>照射效果的检测报告，以达到产品指示灭活效果。（提供一次性使用病毒灭活</w:t>
            </w:r>
            <w:r>
              <w:rPr>
                <w:rFonts w:hint="eastAsia" w:ascii="Calibri" w:hAnsi="Calibri"/>
                <w:color w:val="auto"/>
                <w:sz w:val="24"/>
                <w:szCs w:val="24"/>
                <w:lang w:val="en-US" w:eastAsia="zh-CN"/>
              </w:rPr>
              <w:t>箱</w:t>
            </w:r>
            <w:r>
              <w:rPr>
                <w:rFonts w:hint="eastAsia" w:ascii="Calibri" w:hAnsi="Calibri"/>
                <w:color w:val="auto"/>
                <w:sz w:val="24"/>
                <w:szCs w:val="24"/>
              </w:rPr>
              <w:t>配合用过滤器验证性报告）</w:t>
            </w:r>
          </w:p>
        </w:tc>
      </w:tr>
      <w:tr w14:paraId="7720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449" w:type="dxa"/>
            <w:noWrap/>
            <w:vAlign w:val="center"/>
          </w:tcPr>
          <w:p w14:paraId="7A2F08D3">
            <w:pPr>
              <w:jc w:val="center"/>
              <w:rPr>
                <w:rFonts w:hint="eastAsia" w:ascii="Calibri" w:hAnsi="Calibri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91" w:type="dxa"/>
            <w:noWrap/>
            <w:vAlign w:val="center"/>
          </w:tcPr>
          <w:p w14:paraId="575BF63F">
            <w:pPr>
              <w:rPr>
                <w:rFonts w:hint="eastAsia" w:ascii="Calibri" w:hAnsi="Calibri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7282" w:type="dxa"/>
            <w:noWrap/>
            <w:vAlign w:val="center"/>
          </w:tcPr>
          <w:p w14:paraId="7E1F800B">
            <w:pPr>
              <w:rPr>
                <w:rFonts w:hint="eastAsia" w:ascii="Calibri" w:hAnsi="Calibri"/>
                <w:sz w:val="24"/>
                <w:szCs w:val="24"/>
              </w:rPr>
            </w:pPr>
            <w:r>
              <w:rPr>
                <w:rFonts w:hint="eastAsia" w:ascii="Calibri" w:hAnsi="Calibri"/>
                <w:sz w:val="24"/>
                <w:szCs w:val="24"/>
              </w:rPr>
              <w:t>其他应符合国家《一次性使用血液及血液成分病毒灭活器材（亚甲蓝病毒灭活器材）》医药行业标准。</w:t>
            </w:r>
          </w:p>
        </w:tc>
      </w:tr>
    </w:tbl>
    <w:p w14:paraId="3C64C6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MzQxNDI1MGI4Y2JhZmQ5MTZkOGQyNjIwNWMzMjkifQ=="/>
  </w:docVars>
  <w:rsids>
    <w:rsidRoot w:val="2BB550CA"/>
    <w:rsid w:val="20EE3CD3"/>
    <w:rsid w:val="2BB550CA"/>
    <w:rsid w:val="686D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ind w:firstLine="643" w:firstLineChars="200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</w:pPr>
    <w:rPr>
      <w:rFonts w:ascii="Cambria" w:hAnsi="Cambria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市卫生健康局</Company>
  <Pages>1</Pages>
  <Words>356</Words>
  <Characters>396</Characters>
  <Lines>0</Lines>
  <Paragraphs>0</Paragraphs>
  <TotalTime>9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2024-07-15T08:33:00Z</dcterms:created>
  <dc:creator>李莹莹</dc:creator>
  <cp:lastModifiedBy>心颖</cp:lastModifiedBy>
  <cp:lastPrinted>2026-06-16T03:48:52Z</cp:lastPrinted>
  <dcterms:modified xsi:type="dcterms:W3CDTF">2026-06-16T03:49:27Z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DC1D820715994965A7CF3F394DB9A50A_13</vt:lpwstr>
  </property>
  <property fmtid="{D5CDD505-2E9C-101B-9397-08002B2CF9AE}" pid="4" name="KSOTemplateDocerSaveRecord">
    <vt:lpwstr>eyJoZGlkIjoiOTVmZTliMzdlYjc2MTE5ODhkNDgxM2U1ZmUxNGM4Y2YiLCJ1c2VySWQiOiI2Njc0MDM1NDEifQ==</vt:lpwstr>
  </property>
</Properties>
</file>