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716BA">
      <w:pPr>
        <w:pStyle w:val="5"/>
        <w:spacing w:line="223" w:lineRule="auto"/>
        <w:jc w:val="center"/>
        <w:rPr>
          <w:rFonts w:hint="eastAsia" w:ascii="宋体" w:hAnsi="宋体" w:eastAsia="宋体" w:cs="宋体"/>
          <w:sz w:val="28"/>
          <w:szCs w:val="28"/>
        </w:rPr>
      </w:pPr>
      <w:bookmarkStart w:id="0" w:name="_GoBack"/>
      <w:r>
        <w:rPr>
          <w:rFonts w:hint="eastAsia" w:ascii="宋体" w:hAnsi="宋体" w:eastAsia="宋体" w:cs="宋体"/>
          <w:b/>
          <w:bCs/>
          <w:spacing w:val="5"/>
          <w:sz w:val="28"/>
          <w:szCs w:val="28"/>
        </w:rPr>
        <w:t>南昌市中心血站</w:t>
      </w:r>
      <w:r>
        <w:rPr>
          <w:rFonts w:hint="eastAsia" w:cs="宋体"/>
          <w:b/>
          <w:bCs/>
          <w:spacing w:val="5"/>
          <w:sz w:val="28"/>
          <w:szCs w:val="28"/>
          <w:lang w:val="en-US" w:eastAsia="zh-CN"/>
        </w:rPr>
        <w:t>酶免检测试剂盒</w:t>
      </w:r>
      <w:r>
        <w:rPr>
          <w:rFonts w:hint="eastAsia" w:ascii="宋体" w:hAnsi="宋体" w:eastAsia="宋体" w:cs="宋体"/>
          <w:b/>
          <w:bCs/>
          <w:spacing w:val="5"/>
          <w:sz w:val="28"/>
          <w:szCs w:val="28"/>
        </w:rPr>
        <w:t>采购项目采购需求</w:t>
      </w:r>
    </w:p>
    <w:bookmarkEnd w:id="0"/>
    <w:p w14:paraId="6329270D">
      <w:pPr>
        <w:numPr>
          <w:ilvl w:val="0"/>
          <w:numId w:val="0"/>
        </w:numPr>
        <w:jc w:val="center"/>
        <w:rPr>
          <w:rFonts w:hint="eastAsia" w:ascii="宋体" w:hAnsi="宋体" w:eastAsia="宋体" w:cs="宋体"/>
          <w:color w:val="auto"/>
          <w:spacing w:val="-6"/>
          <w:sz w:val="24"/>
          <w:szCs w:val="24"/>
          <w:highlight w:val="none"/>
          <w:lang w:eastAsia="zh-CN"/>
        </w:rPr>
      </w:pPr>
      <w:r>
        <w:rPr>
          <w:rFonts w:hint="eastAsia" w:ascii="宋体" w:hAnsi="宋体" w:eastAsia="宋体" w:cs="宋体"/>
          <w:b/>
          <w:bCs/>
          <w:snapToGrid w:val="0"/>
          <w:color w:val="auto"/>
          <w:spacing w:val="-6"/>
          <w:sz w:val="24"/>
          <w:szCs w:val="24"/>
          <w:lang w:val="en-US" w:eastAsia="zh-CN" w:bidi="ar-SA"/>
        </w:rPr>
        <w:t>1、乙型肝炎病毒表面抗原检测试剂(复检)</w:t>
      </w:r>
    </w:p>
    <w:p w14:paraId="0DBBB0BE">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（1）96T/盒，用于检测献血者血清/血浆样本中的乙型肝炎病毒表面抗原（HBsAg）。</w:t>
      </w:r>
    </w:p>
    <w:p w14:paraId="12B7056E">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（2）检测方法：酶联免疫两步检测法，适用于血液筛查。</w:t>
      </w:r>
    </w:p>
    <w:p w14:paraId="17F21442">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（3）试剂批内、批间变异系数（CV）＜15%；试剂特异性≥95%、灵敏度≥99%。</w:t>
      </w:r>
    </w:p>
    <w:p w14:paraId="0A747304">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（4）试剂盒所配96孔微孔板必须符合标准（12条，每条8孔），适合全自动酶免分析系统、酶标仪和洗板机使用。</w:t>
      </w:r>
    </w:p>
    <w:p w14:paraId="654B9915">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（5）试剂盒内各种组份齐全和足量，用户不需配制，适用于全自动酶免分析系统检测和手工检测。</w:t>
      </w:r>
    </w:p>
    <w:p w14:paraId="4F8B79E0">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（6）如有加样本稀释液步骤，要求加样本后有变色反应，避免漏加样。</w:t>
      </w:r>
    </w:p>
    <w:p w14:paraId="106DA005">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（7）投标人所投产品2022年度须参加国家卫健委临检中心采供血机构血液检验（传染指标）室间质量评价且室间质评结果合格。</w:t>
      </w:r>
    </w:p>
    <w:p w14:paraId="16117DEB">
      <w:pPr>
        <w:keepNext w:val="0"/>
        <w:keepLines w:val="0"/>
        <w:widowControl/>
        <w:suppressLineNumbers w:val="0"/>
        <w:jc w:val="center"/>
      </w:pPr>
      <w:r>
        <w:rPr>
          <w:rFonts w:hint="eastAsia" w:ascii="宋体" w:hAnsi="宋体" w:eastAsia="宋体" w:cs="宋体"/>
          <w:b/>
          <w:bCs/>
          <w:snapToGrid w:val="0"/>
          <w:color w:val="000000"/>
          <w:kern w:val="0"/>
          <w:sz w:val="24"/>
          <w:szCs w:val="24"/>
          <w:lang w:val="en-US" w:eastAsia="zh-CN" w:bidi="ar"/>
        </w:rPr>
        <w:t>2、丙型肝炎病毒抗体诊断试剂盒(复检)</w:t>
      </w:r>
    </w:p>
    <w:p w14:paraId="690B20A0">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（1）96T/盒，用于检测献血者血清/血浆样本中的丙型肝炎病毒抗体（抗-HCV）。</w:t>
      </w:r>
    </w:p>
    <w:p w14:paraId="0778540B">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（2）检测方法：酶联免疫两步检测法，适用于血液筛查。</w:t>
      </w:r>
    </w:p>
    <w:p w14:paraId="7FB32DFE">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（3）试剂批内、批间变异系数（CV）＜15%；试剂特异性≥95%、灵敏度≥99%,丙肝标本加样量≥10微升。</w:t>
      </w:r>
    </w:p>
    <w:p w14:paraId="7A3EE7CB">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（4）试剂盒所配96孔微孔板必须符合标准（12条，每条8孔），适合全自动酶免分析系统、酶标仪和洗板机使用。</w:t>
      </w:r>
    </w:p>
    <w:p w14:paraId="27EAB6E0">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（5）试剂盒内各种组份齐全和足量，用户不需配制，适用于全自动酶免分析系统检测和手工检测。</w:t>
      </w:r>
    </w:p>
    <w:p w14:paraId="0586469E">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（6）如有加样本稀释液步骤，要求加样本后有变色反应，避免漏加样。</w:t>
      </w:r>
    </w:p>
    <w:p w14:paraId="7019F795">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（7）投标人所投产品2022年度须参加国家卫健委临检中心采供血机构血液检验（传染指标）室间质量评价且室间质评结果合格。</w:t>
      </w:r>
    </w:p>
    <w:p w14:paraId="130F5F96">
      <w:pPr>
        <w:keepNext w:val="0"/>
        <w:keepLines w:val="0"/>
        <w:widowControl/>
        <w:suppressLineNumbers w:val="0"/>
        <w:jc w:val="center"/>
      </w:pPr>
      <w:r>
        <w:rPr>
          <w:rFonts w:hint="eastAsia" w:ascii="宋体" w:hAnsi="宋体" w:eastAsia="宋体" w:cs="宋体"/>
          <w:b/>
          <w:bCs/>
          <w:snapToGrid w:val="0"/>
          <w:color w:val="000000"/>
          <w:kern w:val="0"/>
          <w:sz w:val="24"/>
          <w:szCs w:val="24"/>
          <w:lang w:val="en-US" w:eastAsia="zh-CN" w:bidi="ar"/>
        </w:rPr>
        <w:t>3、梅毒螺旋体抗体诊断试剂盒(体检)</w:t>
      </w:r>
    </w:p>
    <w:p w14:paraId="1026430B">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（1）96T/盒，用于检测献血者血清/血浆样本中的梅毒螺旋体抗体。</w:t>
      </w:r>
    </w:p>
    <w:p w14:paraId="72B6E9E8">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（2）检测方法：酶联免疫两步检测法，适用于血液筛查。</w:t>
      </w:r>
    </w:p>
    <w:p w14:paraId="5C4C892A">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（3）试剂批内、批间变异系数（CV）＜15%；试剂特异性≥95%、灵敏度≥99%。</w:t>
      </w:r>
    </w:p>
    <w:p w14:paraId="10C731B5">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（4）试剂盒所配96孔微孔板必须符合标准（12条，每条8孔），适合全自动酶免分析系统、酶标仪和洗板机使用。</w:t>
      </w:r>
    </w:p>
    <w:p w14:paraId="5452B8BF">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（5）试剂盒内各种组份齐全和足量，用户不需配制，适用于全自动酶免分析系统检测和手工检测。</w:t>
      </w:r>
    </w:p>
    <w:p w14:paraId="2CE91421">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（6）如有加样本稀释液步骤，要求加样本后有变色反应，避免漏加样。</w:t>
      </w:r>
    </w:p>
    <w:p w14:paraId="6CBA6C82">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（7）投标人所投产品2022年度须参加国家卫健委临检中心采供血机构血液检验（传染指标）室间质量评价且室间质评结果合格。</w:t>
      </w:r>
    </w:p>
    <w:p w14:paraId="160D4A70">
      <w:pPr>
        <w:keepNext w:val="0"/>
        <w:keepLines w:val="0"/>
        <w:widowControl/>
        <w:suppressLineNumbers w:val="0"/>
        <w:jc w:val="center"/>
      </w:pPr>
      <w:r>
        <w:rPr>
          <w:rFonts w:hint="eastAsia" w:ascii="宋体" w:hAnsi="宋体" w:eastAsia="宋体" w:cs="宋体"/>
          <w:b/>
          <w:bCs/>
          <w:sz w:val="24"/>
          <w:szCs w:val="24"/>
          <w:lang w:val="en-US" w:eastAsia="zh-CN"/>
        </w:rPr>
        <w:t>4、</w:t>
      </w:r>
      <w:r>
        <w:rPr>
          <w:rFonts w:hint="eastAsia" w:ascii="宋体" w:hAnsi="宋体" w:eastAsia="宋体" w:cs="宋体"/>
          <w:b/>
          <w:bCs/>
          <w:snapToGrid w:val="0"/>
          <w:color w:val="000000"/>
          <w:kern w:val="0"/>
          <w:sz w:val="24"/>
          <w:szCs w:val="24"/>
          <w:lang w:val="en-US" w:eastAsia="zh-CN" w:bidi="ar"/>
        </w:rPr>
        <w:t>人类免疫缺陷病毒抗原抗体诊断试剂(复检)</w:t>
      </w:r>
    </w:p>
    <w:p w14:paraId="6AE7A225">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（1）96T/盒，用于检测献血者血清/血浆样本中的人类免疫缺陷病毒抗体（HIV-1、2型抗体和P24抗原）。</w:t>
      </w:r>
    </w:p>
    <w:p w14:paraId="3298F02B">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（2）检测方法：酶联免疫两步检测法，适用于血液筛查。</w:t>
      </w:r>
    </w:p>
    <w:p w14:paraId="05E890B5">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（3）试剂批内、批间变异系数（CV）＜15%；试剂特异性≥95%、灵敏度≥99%。</w:t>
      </w:r>
    </w:p>
    <w:p w14:paraId="3F3628CB">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（4）须为第四代诊断试剂。</w:t>
      </w:r>
    </w:p>
    <w:p w14:paraId="3CBB7C9C">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（5）试剂盒所配96孔微孔板必须符合标准（12条，每条8孔），适合全自动酶免分析系统、酶标仪和洗板机使用。</w:t>
      </w:r>
    </w:p>
    <w:p w14:paraId="4A5B7A04">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（6）试剂盒内各种组份齐全和足量，用户不需配制，适用于全自动酶免分析系统检测和手工检测。</w:t>
      </w:r>
    </w:p>
    <w:p w14:paraId="48FFE1F3">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（7）如有加样本稀释液步骤，要求加样本后有变色反应，避免漏加样。</w:t>
      </w:r>
    </w:p>
    <w:p w14:paraId="519D4765">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（8）投标人所投产品2022年度须参加国家卫健委临检中心采供血机构血液检验（传染指标）室间质量评价且室间质评结果合格。</w:t>
      </w:r>
    </w:p>
    <w:p w14:paraId="2EE392AA">
      <w:pPr>
        <w:keepNext w:val="0"/>
        <w:keepLines w:val="0"/>
        <w:widowControl/>
        <w:suppressLineNumbers w:val="0"/>
        <w:jc w:val="center"/>
        <w:rPr>
          <w:color w:val="auto"/>
          <w:highlight w:val="none"/>
        </w:rPr>
      </w:pPr>
      <w:r>
        <w:rPr>
          <w:rFonts w:hint="eastAsia" w:ascii="宋体" w:hAnsi="宋体" w:eastAsia="宋体" w:cs="宋体"/>
          <w:b/>
          <w:bCs/>
          <w:color w:val="auto"/>
          <w:sz w:val="24"/>
          <w:szCs w:val="24"/>
          <w:highlight w:val="none"/>
          <w:lang w:val="en-US" w:eastAsia="zh-CN"/>
        </w:rPr>
        <w:t>5、乙型肝炎病毒表面抗原检测试剂(胶体金）</w:t>
      </w:r>
    </w:p>
    <w:p w14:paraId="5A8254E8">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（1）用于献血者乙型肝炎病毒表面抗原（HBsAg)项目快速筛查，检测方法：胶体金法；</w:t>
      </w:r>
    </w:p>
    <w:p w14:paraId="29FA2F14">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（2）可检测样品：人血清、血浆、全血；</w:t>
      </w:r>
    </w:p>
    <w:p w14:paraId="3BB43FDD">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（3）规格：100人份/盒:</w:t>
      </w:r>
    </w:p>
    <w:p w14:paraId="23DDA362">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（4）试剂保存条件：4～30℃避光保存；</w:t>
      </w:r>
    </w:p>
    <w:p w14:paraId="1B2A6C66">
      <w:pPr>
        <w:keepNext w:val="0"/>
        <w:keepLines w:val="0"/>
        <w:widowControl/>
        <w:suppressLineNumbers w:val="0"/>
        <w:jc w:val="left"/>
        <w:rPr>
          <w:rFonts w:hint="eastAsia"/>
          <w:lang w:eastAsia="zh-CN"/>
        </w:rPr>
      </w:pPr>
      <w:r>
        <w:rPr>
          <w:rFonts w:hint="eastAsia" w:ascii="宋体" w:hAnsi="宋体" w:eastAsia="宋体" w:cs="宋体"/>
          <w:snapToGrid w:val="0"/>
          <w:color w:val="000000"/>
          <w:kern w:val="0"/>
          <w:sz w:val="24"/>
          <w:szCs w:val="24"/>
          <w:lang w:val="en-US" w:eastAsia="zh-CN" w:bidi="ar"/>
        </w:rPr>
        <w:t>（5）试</w:t>
      </w:r>
      <w:r>
        <w:rPr>
          <w:rFonts w:hint="eastAsia"/>
          <w:lang w:eastAsia="zh-CN"/>
        </w:rPr>
        <w:t>剂的有效期不低于12个月；</w:t>
      </w:r>
    </w:p>
    <w:p w14:paraId="327D0A1A">
      <w:pPr>
        <w:keepNext w:val="0"/>
        <w:keepLines w:val="0"/>
        <w:widowControl/>
        <w:suppressLineNumbers w:val="0"/>
        <w:jc w:val="left"/>
        <w:rPr>
          <w:rFonts w:hint="eastAsia"/>
          <w:lang w:eastAsia="zh-CN"/>
        </w:rPr>
      </w:pPr>
      <w:r>
        <w:rPr>
          <w:rFonts w:hint="eastAsia" w:ascii="宋体" w:hAnsi="宋体" w:eastAsia="宋体" w:cs="宋体"/>
          <w:snapToGrid w:val="0"/>
          <w:color w:val="000000"/>
          <w:kern w:val="0"/>
          <w:sz w:val="24"/>
          <w:szCs w:val="24"/>
          <w:lang w:val="en-US" w:eastAsia="zh-CN" w:bidi="ar"/>
        </w:rPr>
        <w:t>（6）加样量：≤100ul；</w:t>
      </w:r>
    </w:p>
    <w:p w14:paraId="5B3E9AA8">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（7）抗干扰：</w:t>
      </w:r>
    </w:p>
    <w:p w14:paraId="12E2B0D6">
      <w:pPr>
        <w:keepNext w:val="0"/>
        <w:keepLines w:val="0"/>
        <w:widowControl/>
        <w:suppressLineNumbers w:val="0"/>
        <w:ind w:firstLine="421" w:firstLineChars="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1、HAV、HCV、HIV、TP、RF阳性均不产生交叉反应；</w:t>
      </w:r>
    </w:p>
    <w:p w14:paraId="7E3484F6">
      <w:pPr>
        <w:keepNext w:val="0"/>
        <w:keepLines w:val="0"/>
        <w:widowControl/>
        <w:suppressLineNumbers w:val="0"/>
        <w:ind w:firstLine="421" w:firstLineChars="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2、以下物质浓度范围内不会影响检测结果：血红蛋白≤5.0g/L；胆红素≤342.0umol/L；甘油三酯≤28.2mmol/L；胆固醇≤20.7mmol/L；</w:t>
      </w:r>
    </w:p>
    <w:p w14:paraId="17BAC58A">
      <w:pPr>
        <w:keepNext w:val="0"/>
        <w:keepLines w:val="0"/>
        <w:widowControl/>
        <w:suppressLineNumbers w:val="0"/>
        <w:jc w:val="left"/>
        <w:rPr>
          <w:rFonts w:hint="default" w:ascii="宋体" w:hAnsi="宋体" w:eastAsia="宋体" w:cs="宋体"/>
          <w:b/>
          <w:bCs/>
          <w:snapToGrid w:val="0"/>
          <w:color w:val="000000"/>
          <w:kern w:val="0"/>
          <w:sz w:val="24"/>
          <w:szCs w:val="24"/>
          <w:lang w:val="en-US" w:eastAsia="zh-CN" w:bidi="ar"/>
        </w:rPr>
      </w:pPr>
    </w:p>
    <w:p w14:paraId="2A968077">
      <w:pPr>
        <w:keepNext w:val="0"/>
        <w:keepLines w:val="0"/>
        <w:widowControl/>
        <w:suppressLineNumbers w:val="0"/>
        <w:ind w:firstLine="421" w:firstLineChars="0"/>
        <w:jc w:val="center"/>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7、投标人所投产品：</w:t>
      </w:r>
    </w:p>
    <w:p w14:paraId="6D40F126">
      <w:pPr>
        <w:keepNext w:val="0"/>
        <w:keepLines w:val="0"/>
        <w:widowControl/>
        <w:suppressLineNumbers w:val="0"/>
        <w:ind w:firstLine="421" w:firstLineChars="0"/>
        <w:jc w:val="both"/>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乙型肝炎病毒表面抗原诊断试剂、丙型肝炎病毒抗体诊断试剂、梅毒螺旋体抗体诊断试剂、人类免疫缺陷病毒抗原抗体诊断试剂）在2022年国家卫健委临检中心三次室间质评活动中，使用该投标产品上报采供血机构血液检验结果的实验室用户数三次总数之和须大于1000家。（投标人须提供2022年度国家卫健委临检中心三次采供血机构血液检验室间质评使用所投产品的实验室用户数三次总数之和的数据并加盖投标人公章）</w:t>
      </w:r>
    </w:p>
    <w:p w14:paraId="62992655">
      <w:pPr>
        <w:rPr>
          <w:rFonts w:hint="eastAsia" w:ascii="宋体" w:hAnsi="宋体" w:eastAsia="宋体" w:cs="宋体"/>
          <w:b/>
          <w:bCs/>
          <w:spacing w:val="7"/>
          <w:sz w:val="28"/>
          <w:szCs w:val="28"/>
        </w:rPr>
      </w:pPr>
      <w:r>
        <w:rPr>
          <w:rFonts w:hint="eastAsia" w:ascii="宋体" w:hAnsi="宋体"/>
          <w:color w:val="auto"/>
          <w:sz w:val="24"/>
          <w:szCs w:val="24"/>
          <w:highlight w:val="none"/>
          <w:lang w:val="en-US" w:eastAsia="zh-CN"/>
        </w:rPr>
        <w:t>注：以上需求为采购人最低需求，有任意一项不满足视为无效投标。</w:t>
      </w:r>
    </w:p>
    <w:p w14:paraId="344E065F">
      <w:pPr>
        <w:pStyle w:val="5"/>
        <w:spacing w:before="78" w:line="219" w:lineRule="auto"/>
        <w:ind w:left="8"/>
        <w:rPr>
          <w:rFonts w:hint="eastAsia" w:ascii="宋体" w:hAnsi="宋体" w:eastAsia="宋体" w:cs="宋体"/>
          <w:b w:val="0"/>
          <w:bCs w:val="0"/>
          <w:spacing w:val="7"/>
          <w:sz w:val="28"/>
          <w:szCs w:val="28"/>
        </w:rPr>
      </w:pPr>
    </w:p>
    <w:p w14:paraId="70FDCC55">
      <w:pPr>
        <w:pStyle w:val="5"/>
        <w:spacing w:before="78" w:line="219" w:lineRule="auto"/>
        <w:ind w:left="8"/>
        <w:rPr>
          <w:rFonts w:hint="eastAsia" w:ascii="宋体" w:hAnsi="宋体" w:eastAsia="宋体" w:cs="宋体"/>
          <w:b w:val="0"/>
          <w:bCs w:val="0"/>
          <w:spacing w:val="7"/>
          <w:sz w:val="28"/>
          <w:szCs w:val="28"/>
        </w:rPr>
      </w:pPr>
    </w:p>
    <w:p w14:paraId="7E7125C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1ABBB5CF">
      <w:pPr>
        <w:pStyle w:val="5"/>
        <w:spacing w:before="78" w:line="219" w:lineRule="auto"/>
        <w:ind w:left="8"/>
        <w:jc w:val="center"/>
        <w:rPr>
          <w:rFonts w:hint="eastAsia" w:ascii="宋体" w:hAnsi="宋体" w:eastAsia="宋体" w:cs="宋体"/>
          <w:b/>
          <w:bCs/>
          <w:spacing w:val="7"/>
          <w:sz w:val="28"/>
          <w:szCs w:val="28"/>
          <w:lang w:val="en-US" w:eastAsia="zh-CN"/>
        </w:rPr>
      </w:pPr>
      <w:r>
        <w:rPr>
          <w:rFonts w:hint="eastAsia" w:ascii="宋体" w:hAnsi="宋体" w:eastAsia="宋体" w:cs="宋体"/>
          <w:b/>
          <w:bCs/>
          <w:spacing w:val="7"/>
          <w:sz w:val="28"/>
          <w:szCs w:val="28"/>
          <w:lang w:val="en-US" w:eastAsia="zh-CN"/>
        </w:rPr>
        <w:t>技术偏离表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2727"/>
        <w:gridCol w:w="2249"/>
        <w:gridCol w:w="2713"/>
      </w:tblGrid>
      <w:tr w14:paraId="2CD5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12A8974B">
            <w:pPr>
              <w:pStyle w:val="5"/>
              <w:widowControl w:val="0"/>
              <w:spacing w:before="78" w:line="219" w:lineRule="auto"/>
              <w:ind w:left="8"/>
              <w:jc w:val="center"/>
              <w:rPr>
                <w:rFonts w:hint="eastAsia" w:ascii="宋体" w:hAnsi="宋体" w:eastAsia="宋体" w:cs="宋体"/>
                <w:b/>
                <w:bCs/>
                <w:spacing w:val="7"/>
                <w:sz w:val="28"/>
                <w:szCs w:val="28"/>
                <w:lang w:val="en-US" w:eastAsia="zh-CN"/>
              </w:rPr>
            </w:pPr>
            <w:r>
              <w:rPr>
                <w:rFonts w:hint="eastAsia" w:ascii="宋体" w:hAnsi="宋体" w:eastAsia="宋体" w:cs="宋体"/>
                <w:b/>
                <w:bCs/>
                <w:spacing w:val="7"/>
                <w:sz w:val="28"/>
                <w:szCs w:val="28"/>
                <w:lang w:val="en-US" w:eastAsia="zh-CN"/>
              </w:rPr>
              <w:t>序号</w:t>
            </w:r>
          </w:p>
        </w:tc>
        <w:tc>
          <w:tcPr>
            <w:tcW w:w="2727" w:type="dxa"/>
            <w:vAlign w:val="center"/>
          </w:tcPr>
          <w:p w14:paraId="55CE5355">
            <w:pPr>
              <w:pStyle w:val="5"/>
              <w:widowControl w:val="0"/>
              <w:spacing w:before="78" w:line="219" w:lineRule="auto"/>
              <w:ind w:left="8"/>
              <w:jc w:val="center"/>
              <w:rPr>
                <w:rFonts w:hint="eastAsia" w:ascii="宋体" w:hAnsi="宋体" w:eastAsia="宋体" w:cs="宋体"/>
                <w:b/>
                <w:bCs/>
                <w:spacing w:val="7"/>
                <w:sz w:val="28"/>
                <w:szCs w:val="28"/>
                <w:lang w:val="en-US" w:eastAsia="zh-CN"/>
              </w:rPr>
            </w:pPr>
            <w:r>
              <w:rPr>
                <w:rFonts w:hint="eastAsia" w:ascii="宋体" w:hAnsi="宋体" w:eastAsia="宋体" w:cs="宋体"/>
                <w:b/>
                <w:bCs/>
                <w:spacing w:val="7"/>
                <w:sz w:val="28"/>
                <w:szCs w:val="28"/>
                <w:lang w:val="en-US" w:eastAsia="zh-CN"/>
              </w:rPr>
              <w:t>调研要求</w:t>
            </w:r>
          </w:p>
        </w:tc>
        <w:tc>
          <w:tcPr>
            <w:tcW w:w="2249" w:type="dxa"/>
            <w:vAlign w:val="center"/>
          </w:tcPr>
          <w:p w14:paraId="588D7886">
            <w:pPr>
              <w:pStyle w:val="5"/>
              <w:widowControl w:val="0"/>
              <w:spacing w:before="78" w:line="219" w:lineRule="auto"/>
              <w:ind w:left="8"/>
              <w:jc w:val="center"/>
              <w:rPr>
                <w:rFonts w:hint="eastAsia" w:ascii="宋体" w:hAnsi="宋体" w:eastAsia="宋体" w:cs="宋体"/>
                <w:b/>
                <w:bCs/>
                <w:spacing w:val="7"/>
                <w:sz w:val="28"/>
                <w:szCs w:val="28"/>
                <w:lang w:val="en-US" w:eastAsia="zh-CN"/>
              </w:rPr>
            </w:pPr>
            <w:r>
              <w:rPr>
                <w:rFonts w:hint="eastAsia" w:ascii="宋体" w:hAnsi="宋体" w:eastAsia="宋体" w:cs="宋体"/>
                <w:b/>
                <w:bCs/>
                <w:spacing w:val="7"/>
                <w:sz w:val="28"/>
                <w:szCs w:val="28"/>
                <w:lang w:val="en-US" w:eastAsia="zh-CN"/>
              </w:rPr>
              <w:t>调研响应</w:t>
            </w:r>
          </w:p>
        </w:tc>
        <w:tc>
          <w:tcPr>
            <w:tcW w:w="2713" w:type="dxa"/>
            <w:vAlign w:val="center"/>
          </w:tcPr>
          <w:p w14:paraId="098AA1A7">
            <w:pPr>
              <w:pStyle w:val="5"/>
              <w:widowControl w:val="0"/>
              <w:spacing w:before="78" w:line="219" w:lineRule="auto"/>
              <w:ind w:left="8"/>
              <w:jc w:val="center"/>
              <w:rPr>
                <w:rFonts w:hint="eastAsia" w:ascii="宋体" w:hAnsi="宋体" w:eastAsia="宋体" w:cs="宋体"/>
                <w:b/>
                <w:bCs/>
                <w:spacing w:val="7"/>
                <w:sz w:val="28"/>
                <w:szCs w:val="28"/>
                <w:lang w:val="en-US" w:eastAsia="zh-CN"/>
              </w:rPr>
            </w:pPr>
            <w:r>
              <w:rPr>
                <w:rFonts w:hint="eastAsia" w:ascii="宋体" w:hAnsi="宋体" w:eastAsia="宋体" w:cs="宋体"/>
                <w:b/>
                <w:bCs/>
                <w:spacing w:val="7"/>
                <w:sz w:val="28"/>
                <w:szCs w:val="28"/>
                <w:lang w:val="en-US" w:eastAsia="zh-CN"/>
              </w:rPr>
              <w:t>说明（正/负偏离）</w:t>
            </w:r>
          </w:p>
        </w:tc>
      </w:tr>
      <w:tr w14:paraId="63E2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65F1C323">
            <w:pPr>
              <w:pStyle w:val="5"/>
              <w:widowControl w:val="0"/>
              <w:spacing w:before="78" w:line="219" w:lineRule="auto"/>
              <w:ind w:left="8"/>
              <w:jc w:val="center"/>
              <w:rPr>
                <w:rFonts w:hint="eastAsia" w:ascii="宋体" w:hAnsi="宋体" w:eastAsia="宋体" w:cs="宋体"/>
                <w:b w:val="0"/>
                <w:bCs w:val="0"/>
                <w:spacing w:val="7"/>
                <w:sz w:val="28"/>
                <w:szCs w:val="28"/>
              </w:rPr>
            </w:pPr>
          </w:p>
        </w:tc>
        <w:tc>
          <w:tcPr>
            <w:tcW w:w="2727" w:type="dxa"/>
            <w:vAlign w:val="center"/>
          </w:tcPr>
          <w:p w14:paraId="12787C6E">
            <w:pPr>
              <w:pStyle w:val="5"/>
              <w:widowControl w:val="0"/>
              <w:spacing w:before="78" w:line="219" w:lineRule="auto"/>
              <w:ind w:left="8"/>
              <w:jc w:val="center"/>
              <w:rPr>
                <w:rFonts w:hint="eastAsia" w:ascii="宋体" w:hAnsi="宋体" w:eastAsia="宋体" w:cs="宋体"/>
                <w:b w:val="0"/>
                <w:bCs w:val="0"/>
                <w:spacing w:val="7"/>
                <w:sz w:val="28"/>
                <w:szCs w:val="28"/>
              </w:rPr>
            </w:pPr>
          </w:p>
        </w:tc>
        <w:tc>
          <w:tcPr>
            <w:tcW w:w="2249" w:type="dxa"/>
            <w:vAlign w:val="center"/>
          </w:tcPr>
          <w:p w14:paraId="47725C63">
            <w:pPr>
              <w:pStyle w:val="5"/>
              <w:widowControl w:val="0"/>
              <w:spacing w:before="78" w:line="219" w:lineRule="auto"/>
              <w:ind w:left="8"/>
              <w:jc w:val="center"/>
              <w:rPr>
                <w:rFonts w:hint="eastAsia" w:ascii="宋体" w:hAnsi="宋体" w:eastAsia="宋体" w:cs="宋体"/>
                <w:b w:val="0"/>
                <w:bCs w:val="0"/>
                <w:spacing w:val="7"/>
                <w:sz w:val="28"/>
                <w:szCs w:val="28"/>
              </w:rPr>
            </w:pPr>
          </w:p>
        </w:tc>
        <w:tc>
          <w:tcPr>
            <w:tcW w:w="2713" w:type="dxa"/>
            <w:vAlign w:val="center"/>
          </w:tcPr>
          <w:p w14:paraId="0CE02164">
            <w:pPr>
              <w:pStyle w:val="5"/>
              <w:widowControl w:val="0"/>
              <w:spacing w:before="78" w:line="219" w:lineRule="auto"/>
              <w:ind w:left="8"/>
              <w:jc w:val="center"/>
              <w:rPr>
                <w:rFonts w:hint="eastAsia" w:ascii="宋体" w:hAnsi="宋体" w:eastAsia="宋体" w:cs="宋体"/>
                <w:b w:val="0"/>
                <w:bCs w:val="0"/>
                <w:spacing w:val="7"/>
                <w:sz w:val="28"/>
                <w:szCs w:val="28"/>
              </w:rPr>
            </w:pPr>
          </w:p>
        </w:tc>
      </w:tr>
      <w:tr w14:paraId="7999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77512C94">
            <w:pPr>
              <w:pStyle w:val="5"/>
              <w:widowControl w:val="0"/>
              <w:spacing w:before="78" w:line="219" w:lineRule="auto"/>
              <w:ind w:left="8"/>
              <w:jc w:val="center"/>
              <w:rPr>
                <w:rFonts w:hint="eastAsia" w:ascii="宋体" w:hAnsi="宋体" w:eastAsia="宋体" w:cs="宋体"/>
                <w:b w:val="0"/>
                <w:bCs w:val="0"/>
                <w:spacing w:val="7"/>
                <w:sz w:val="28"/>
                <w:szCs w:val="28"/>
              </w:rPr>
            </w:pPr>
          </w:p>
        </w:tc>
        <w:tc>
          <w:tcPr>
            <w:tcW w:w="2727" w:type="dxa"/>
            <w:vAlign w:val="center"/>
          </w:tcPr>
          <w:p w14:paraId="7DBE2417">
            <w:pPr>
              <w:pStyle w:val="5"/>
              <w:widowControl w:val="0"/>
              <w:spacing w:before="78" w:line="219" w:lineRule="auto"/>
              <w:ind w:left="8"/>
              <w:jc w:val="center"/>
              <w:rPr>
                <w:rFonts w:hint="eastAsia" w:ascii="宋体" w:hAnsi="宋体" w:eastAsia="宋体" w:cs="宋体"/>
                <w:b w:val="0"/>
                <w:bCs w:val="0"/>
                <w:spacing w:val="7"/>
                <w:sz w:val="28"/>
                <w:szCs w:val="28"/>
              </w:rPr>
            </w:pPr>
          </w:p>
        </w:tc>
        <w:tc>
          <w:tcPr>
            <w:tcW w:w="2249" w:type="dxa"/>
            <w:vAlign w:val="center"/>
          </w:tcPr>
          <w:p w14:paraId="630A7D72">
            <w:pPr>
              <w:pStyle w:val="5"/>
              <w:widowControl w:val="0"/>
              <w:spacing w:before="78" w:line="219" w:lineRule="auto"/>
              <w:ind w:left="8"/>
              <w:jc w:val="center"/>
              <w:rPr>
                <w:rFonts w:hint="eastAsia" w:ascii="宋体" w:hAnsi="宋体" w:eastAsia="宋体" w:cs="宋体"/>
                <w:b w:val="0"/>
                <w:bCs w:val="0"/>
                <w:spacing w:val="7"/>
                <w:sz w:val="28"/>
                <w:szCs w:val="28"/>
              </w:rPr>
            </w:pPr>
          </w:p>
        </w:tc>
        <w:tc>
          <w:tcPr>
            <w:tcW w:w="2713" w:type="dxa"/>
            <w:vAlign w:val="center"/>
          </w:tcPr>
          <w:p w14:paraId="21CB60A3">
            <w:pPr>
              <w:pStyle w:val="5"/>
              <w:widowControl w:val="0"/>
              <w:spacing w:before="78" w:line="219" w:lineRule="auto"/>
              <w:ind w:left="8"/>
              <w:jc w:val="center"/>
              <w:rPr>
                <w:rFonts w:hint="eastAsia" w:ascii="宋体" w:hAnsi="宋体" w:eastAsia="宋体" w:cs="宋体"/>
                <w:b w:val="0"/>
                <w:bCs w:val="0"/>
                <w:spacing w:val="7"/>
                <w:sz w:val="28"/>
                <w:szCs w:val="28"/>
              </w:rPr>
            </w:pPr>
          </w:p>
        </w:tc>
      </w:tr>
      <w:tr w14:paraId="23AC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0A2A23A2">
            <w:pPr>
              <w:pStyle w:val="5"/>
              <w:widowControl w:val="0"/>
              <w:spacing w:before="78" w:line="219" w:lineRule="auto"/>
              <w:ind w:left="8"/>
              <w:jc w:val="center"/>
              <w:rPr>
                <w:rFonts w:hint="eastAsia" w:ascii="宋体" w:hAnsi="宋体" w:eastAsia="宋体" w:cs="宋体"/>
                <w:b w:val="0"/>
                <w:bCs w:val="0"/>
                <w:spacing w:val="7"/>
                <w:sz w:val="28"/>
                <w:szCs w:val="28"/>
              </w:rPr>
            </w:pPr>
          </w:p>
        </w:tc>
        <w:tc>
          <w:tcPr>
            <w:tcW w:w="2727" w:type="dxa"/>
            <w:vAlign w:val="center"/>
          </w:tcPr>
          <w:p w14:paraId="6433D967">
            <w:pPr>
              <w:pStyle w:val="5"/>
              <w:widowControl w:val="0"/>
              <w:spacing w:before="78" w:line="219" w:lineRule="auto"/>
              <w:ind w:left="8"/>
              <w:jc w:val="center"/>
              <w:rPr>
                <w:rFonts w:hint="eastAsia" w:ascii="宋体" w:hAnsi="宋体" w:eastAsia="宋体" w:cs="宋体"/>
                <w:b w:val="0"/>
                <w:bCs w:val="0"/>
                <w:spacing w:val="7"/>
                <w:sz w:val="28"/>
                <w:szCs w:val="28"/>
              </w:rPr>
            </w:pPr>
          </w:p>
        </w:tc>
        <w:tc>
          <w:tcPr>
            <w:tcW w:w="2249" w:type="dxa"/>
            <w:vAlign w:val="center"/>
          </w:tcPr>
          <w:p w14:paraId="0836D355">
            <w:pPr>
              <w:pStyle w:val="5"/>
              <w:widowControl w:val="0"/>
              <w:spacing w:before="78" w:line="219" w:lineRule="auto"/>
              <w:ind w:left="8"/>
              <w:jc w:val="center"/>
              <w:rPr>
                <w:rFonts w:hint="eastAsia" w:ascii="宋体" w:hAnsi="宋体" w:eastAsia="宋体" w:cs="宋体"/>
                <w:b w:val="0"/>
                <w:bCs w:val="0"/>
                <w:spacing w:val="7"/>
                <w:sz w:val="28"/>
                <w:szCs w:val="28"/>
              </w:rPr>
            </w:pPr>
          </w:p>
        </w:tc>
        <w:tc>
          <w:tcPr>
            <w:tcW w:w="2713" w:type="dxa"/>
            <w:vAlign w:val="center"/>
          </w:tcPr>
          <w:p w14:paraId="33D18765">
            <w:pPr>
              <w:pStyle w:val="5"/>
              <w:widowControl w:val="0"/>
              <w:spacing w:before="78" w:line="219" w:lineRule="auto"/>
              <w:ind w:left="8"/>
              <w:jc w:val="center"/>
              <w:rPr>
                <w:rFonts w:hint="eastAsia" w:ascii="宋体" w:hAnsi="宋体" w:eastAsia="宋体" w:cs="宋体"/>
                <w:b w:val="0"/>
                <w:bCs w:val="0"/>
                <w:spacing w:val="7"/>
                <w:sz w:val="28"/>
                <w:szCs w:val="28"/>
              </w:rPr>
            </w:pPr>
          </w:p>
        </w:tc>
      </w:tr>
      <w:tr w14:paraId="559D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0FB1862F">
            <w:pPr>
              <w:pStyle w:val="5"/>
              <w:widowControl w:val="0"/>
              <w:spacing w:before="78" w:line="219" w:lineRule="auto"/>
              <w:ind w:left="8"/>
              <w:jc w:val="center"/>
              <w:rPr>
                <w:rFonts w:hint="eastAsia" w:ascii="宋体" w:hAnsi="宋体" w:eastAsia="宋体" w:cs="宋体"/>
                <w:b w:val="0"/>
                <w:bCs w:val="0"/>
                <w:spacing w:val="7"/>
                <w:sz w:val="28"/>
                <w:szCs w:val="28"/>
              </w:rPr>
            </w:pPr>
          </w:p>
        </w:tc>
        <w:tc>
          <w:tcPr>
            <w:tcW w:w="2727" w:type="dxa"/>
            <w:vAlign w:val="center"/>
          </w:tcPr>
          <w:p w14:paraId="360FC81E">
            <w:pPr>
              <w:pStyle w:val="5"/>
              <w:widowControl w:val="0"/>
              <w:spacing w:before="78" w:line="219" w:lineRule="auto"/>
              <w:ind w:left="8"/>
              <w:jc w:val="center"/>
              <w:rPr>
                <w:rFonts w:hint="eastAsia" w:ascii="宋体" w:hAnsi="宋体" w:eastAsia="宋体" w:cs="宋体"/>
                <w:b w:val="0"/>
                <w:bCs w:val="0"/>
                <w:spacing w:val="7"/>
                <w:sz w:val="28"/>
                <w:szCs w:val="28"/>
              </w:rPr>
            </w:pPr>
          </w:p>
        </w:tc>
        <w:tc>
          <w:tcPr>
            <w:tcW w:w="2249" w:type="dxa"/>
            <w:vAlign w:val="center"/>
          </w:tcPr>
          <w:p w14:paraId="7004B46E">
            <w:pPr>
              <w:pStyle w:val="5"/>
              <w:widowControl w:val="0"/>
              <w:spacing w:before="78" w:line="219" w:lineRule="auto"/>
              <w:ind w:left="8"/>
              <w:jc w:val="center"/>
              <w:rPr>
                <w:rFonts w:hint="eastAsia" w:ascii="宋体" w:hAnsi="宋体" w:eastAsia="宋体" w:cs="宋体"/>
                <w:b w:val="0"/>
                <w:bCs w:val="0"/>
                <w:spacing w:val="7"/>
                <w:sz w:val="28"/>
                <w:szCs w:val="28"/>
              </w:rPr>
            </w:pPr>
          </w:p>
        </w:tc>
        <w:tc>
          <w:tcPr>
            <w:tcW w:w="2713" w:type="dxa"/>
            <w:vAlign w:val="center"/>
          </w:tcPr>
          <w:p w14:paraId="36333DCC">
            <w:pPr>
              <w:pStyle w:val="5"/>
              <w:widowControl w:val="0"/>
              <w:spacing w:before="78" w:line="219" w:lineRule="auto"/>
              <w:ind w:left="8"/>
              <w:jc w:val="center"/>
              <w:rPr>
                <w:rFonts w:hint="eastAsia" w:ascii="宋体" w:hAnsi="宋体" w:eastAsia="宋体" w:cs="宋体"/>
                <w:b w:val="0"/>
                <w:bCs w:val="0"/>
                <w:spacing w:val="7"/>
                <w:sz w:val="28"/>
                <w:szCs w:val="28"/>
              </w:rPr>
            </w:pPr>
          </w:p>
        </w:tc>
      </w:tr>
      <w:tr w14:paraId="51CE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1FD63F7D">
            <w:pPr>
              <w:pStyle w:val="5"/>
              <w:widowControl w:val="0"/>
              <w:spacing w:before="78" w:line="219" w:lineRule="auto"/>
              <w:ind w:left="8"/>
              <w:jc w:val="center"/>
              <w:rPr>
                <w:rFonts w:hint="eastAsia" w:ascii="宋体" w:hAnsi="宋体" w:eastAsia="宋体" w:cs="宋体"/>
                <w:b w:val="0"/>
                <w:bCs w:val="0"/>
                <w:spacing w:val="7"/>
                <w:sz w:val="28"/>
                <w:szCs w:val="28"/>
              </w:rPr>
            </w:pPr>
          </w:p>
        </w:tc>
        <w:tc>
          <w:tcPr>
            <w:tcW w:w="2727" w:type="dxa"/>
            <w:vAlign w:val="center"/>
          </w:tcPr>
          <w:p w14:paraId="61952EBC">
            <w:pPr>
              <w:pStyle w:val="5"/>
              <w:widowControl w:val="0"/>
              <w:spacing w:before="78" w:line="219" w:lineRule="auto"/>
              <w:ind w:left="8"/>
              <w:jc w:val="center"/>
              <w:rPr>
                <w:rFonts w:hint="eastAsia" w:ascii="宋体" w:hAnsi="宋体" w:eastAsia="宋体" w:cs="宋体"/>
                <w:b w:val="0"/>
                <w:bCs w:val="0"/>
                <w:spacing w:val="7"/>
                <w:sz w:val="28"/>
                <w:szCs w:val="28"/>
              </w:rPr>
            </w:pPr>
          </w:p>
        </w:tc>
        <w:tc>
          <w:tcPr>
            <w:tcW w:w="2249" w:type="dxa"/>
            <w:vAlign w:val="center"/>
          </w:tcPr>
          <w:p w14:paraId="24E82403">
            <w:pPr>
              <w:pStyle w:val="5"/>
              <w:widowControl w:val="0"/>
              <w:spacing w:before="78" w:line="219" w:lineRule="auto"/>
              <w:ind w:left="8"/>
              <w:jc w:val="center"/>
              <w:rPr>
                <w:rFonts w:hint="eastAsia" w:ascii="宋体" w:hAnsi="宋体" w:eastAsia="宋体" w:cs="宋体"/>
                <w:b w:val="0"/>
                <w:bCs w:val="0"/>
                <w:spacing w:val="7"/>
                <w:sz w:val="28"/>
                <w:szCs w:val="28"/>
              </w:rPr>
            </w:pPr>
          </w:p>
        </w:tc>
        <w:tc>
          <w:tcPr>
            <w:tcW w:w="2713" w:type="dxa"/>
            <w:vAlign w:val="center"/>
          </w:tcPr>
          <w:p w14:paraId="3B9A0A46">
            <w:pPr>
              <w:pStyle w:val="5"/>
              <w:widowControl w:val="0"/>
              <w:spacing w:before="78" w:line="219" w:lineRule="auto"/>
              <w:ind w:left="8"/>
              <w:jc w:val="center"/>
              <w:rPr>
                <w:rFonts w:hint="eastAsia" w:ascii="宋体" w:hAnsi="宋体" w:eastAsia="宋体" w:cs="宋体"/>
                <w:b w:val="0"/>
                <w:bCs w:val="0"/>
                <w:spacing w:val="7"/>
                <w:sz w:val="28"/>
                <w:szCs w:val="28"/>
              </w:rPr>
            </w:pPr>
          </w:p>
        </w:tc>
      </w:tr>
      <w:tr w14:paraId="4D9CC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60D6CA12">
            <w:pPr>
              <w:pStyle w:val="5"/>
              <w:widowControl w:val="0"/>
              <w:spacing w:before="78" w:line="219" w:lineRule="auto"/>
              <w:ind w:left="8"/>
              <w:jc w:val="center"/>
              <w:rPr>
                <w:rFonts w:hint="eastAsia" w:ascii="宋体" w:hAnsi="宋体" w:eastAsia="宋体" w:cs="宋体"/>
                <w:b w:val="0"/>
                <w:bCs w:val="0"/>
                <w:spacing w:val="7"/>
                <w:sz w:val="28"/>
                <w:szCs w:val="28"/>
              </w:rPr>
            </w:pPr>
          </w:p>
        </w:tc>
        <w:tc>
          <w:tcPr>
            <w:tcW w:w="2727" w:type="dxa"/>
            <w:vAlign w:val="center"/>
          </w:tcPr>
          <w:p w14:paraId="09F31852">
            <w:pPr>
              <w:pStyle w:val="5"/>
              <w:widowControl w:val="0"/>
              <w:spacing w:before="78" w:line="219" w:lineRule="auto"/>
              <w:ind w:left="8"/>
              <w:jc w:val="center"/>
              <w:rPr>
                <w:rFonts w:hint="eastAsia" w:ascii="宋体" w:hAnsi="宋体" w:eastAsia="宋体" w:cs="宋体"/>
                <w:b w:val="0"/>
                <w:bCs w:val="0"/>
                <w:spacing w:val="7"/>
                <w:sz w:val="28"/>
                <w:szCs w:val="28"/>
              </w:rPr>
            </w:pPr>
          </w:p>
        </w:tc>
        <w:tc>
          <w:tcPr>
            <w:tcW w:w="2249" w:type="dxa"/>
            <w:vAlign w:val="center"/>
          </w:tcPr>
          <w:p w14:paraId="55BF3CDE">
            <w:pPr>
              <w:pStyle w:val="5"/>
              <w:widowControl w:val="0"/>
              <w:spacing w:before="78" w:line="219" w:lineRule="auto"/>
              <w:ind w:left="8"/>
              <w:jc w:val="center"/>
              <w:rPr>
                <w:rFonts w:hint="eastAsia" w:ascii="宋体" w:hAnsi="宋体" w:eastAsia="宋体" w:cs="宋体"/>
                <w:b w:val="0"/>
                <w:bCs w:val="0"/>
                <w:spacing w:val="7"/>
                <w:sz w:val="28"/>
                <w:szCs w:val="28"/>
              </w:rPr>
            </w:pPr>
          </w:p>
        </w:tc>
        <w:tc>
          <w:tcPr>
            <w:tcW w:w="2713" w:type="dxa"/>
            <w:vAlign w:val="center"/>
          </w:tcPr>
          <w:p w14:paraId="0A3217DC">
            <w:pPr>
              <w:pStyle w:val="5"/>
              <w:widowControl w:val="0"/>
              <w:spacing w:before="78" w:line="219" w:lineRule="auto"/>
              <w:ind w:left="8"/>
              <w:jc w:val="center"/>
              <w:rPr>
                <w:rFonts w:hint="eastAsia" w:ascii="宋体" w:hAnsi="宋体" w:eastAsia="宋体" w:cs="宋体"/>
                <w:b w:val="0"/>
                <w:bCs w:val="0"/>
                <w:spacing w:val="7"/>
                <w:sz w:val="28"/>
                <w:szCs w:val="28"/>
              </w:rPr>
            </w:pPr>
          </w:p>
        </w:tc>
      </w:tr>
      <w:tr w14:paraId="2172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01858634">
            <w:pPr>
              <w:pStyle w:val="5"/>
              <w:widowControl w:val="0"/>
              <w:spacing w:before="78" w:line="219" w:lineRule="auto"/>
              <w:ind w:left="8"/>
              <w:jc w:val="center"/>
              <w:rPr>
                <w:rFonts w:hint="eastAsia" w:ascii="宋体" w:hAnsi="宋体" w:eastAsia="宋体" w:cs="宋体"/>
                <w:b w:val="0"/>
                <w:bCs w:val="0"/>
                <w:spacing w:val="7"/>
                <w:sz w:val="28"/>
                <w:szCs w:val="28"/>
              </w:rPr>
            </w:pPr>
          </w:p>
        </w:tc>
        <w:tc>
          <w:tcPr>
            <w:tcW w:w="2727" w:type="dxa"/>
            <w:vAlign w:val="center"/>
          </w:tcPr>
          <w:p w14:paraId="4F656FA2">
            <w:pPr>
              <w:pStyle w:val="5"/>
              <w:widowControl w:val="0"/>
              <w:spacing w:before="78" w:line="219" w:lineRule="auto"/>
              <w:ind w:left="8"/>
              <w:jc w:val="center"/>
              <w:rPr>
                <w:rFonts w:hint="eastAsia" w:ascii="宋体" w:hAnsi="宋体" w:eastAsia="宋体" w:cs="宋体"/>
                <w:b w:val="0"/>
                <w:bCs w:val="0"/>
                <w:spacing w:val="7"/>
                <w:sz w:val="28"/>
                <w:szCs w:val="28"/>
              </w:rPr>
            </w:pPr>
          </w:p>
        </w:tc>
        <w:tc>
          <w:tcPr>
            <w:tcW w:w="2249" w:type="dxa"/>
            <w:vAlign w:val="center"/>
          </w:tcPr>
          <w:p w14:paraId="3CE10B94">
            <w:pPr>
              <w:pStyle w:val="5"/>
              <w:widowControl w:val="0"/>
              <w:spacing w:before="78" w:line="219" w:lineRule="auto"/>
              <w:ind w:left="8"/>
              <w:jc w:val="center"/>
              <w:rPr>
                <w:rFonts w:hint="eastAsia" w:ascii="宋体" w:hAnsi="宋体" w:eastAsia="宋体" w:cs="宋体"/>
                <w:b w:val="0"/>
                <w:bCs w:val="0"/>
                <w:spacing w:val="7"/>
                <w:sz w:val="28"/>
                <w:szCs w:val="28"/>
              </w:rPr>
            </w:pPr>
          </w:p>
        </w:tc>
        <w:tc>
          <w:tcPr>
            <w:tcW w:w="2713" w:type="dxa"/>
            <w:vAlign w:val="center"/>
          </w:tcPr>
          <w:p w14:paraId="45CFBAF6">
            <w:pPr>
              <w:pStyle w:val="5"/>
              <w:widowControl w:val="0"/>
              <w:spacing w:before="78" w:line="219" w:lineRule="auto"/>
              <w:ind w:left="8"/>
              <w:jc w:val="center"/>
              <w:rPr>
                <w:rFonts w:hint="eastAsia" w:ascii="宋体" w:hAnsi="宋体" w:eastAsia="宋体" w:cs="宋体"/>
                <w:b w:val="0"/>
                <w:bCs w:val="0"/>
                <w:spacing w:val="7"/>
                <w:sz w:val="28"/>
                <w:szCs w:val="28"/>
              </w:rPr>
            </w:pPr>
          </w:p>
        </w:tc>
      </w:tr>
      <w:tr w14:paraId="2DC0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08ABFB67">
            <w:pPr>
              <w:pStyle w:val="5"/>
              <w:widowControl w:val="0"/>
              <w:spacing w:before="78" w:line="219" w:lineRule="auto"/>
              <w:ind w:left="8"/>
              <w:jc w:val="center"/>
              <w:rPr>
                <w:rFonts w:hint="eastAsia" w:ascii="宋体" w:hAnsi="宋体" w:eastAsia="宋体" w:cs="宋体"/>
                <w:b w:val="0"/>
                <w:bCs w:val="0"/>
                <w:spacing w:val="7"/>
                <w:sz w:val="28"/>
                <w:szCs w:val="28"/>
              </w:rPr>
            </w:pPr>
          </w:p>
        </w:tc>
        <w:tc>
          <w:tcPr>
            <w:tcW w:w="2727" w:type="dxa"/>
            <w:vAlign w:val="center"/>
          </w:tcPr>
          <w:p w14:paraId="3B4221B3">
            <w:pPr>
              <w:pStyle w:val="5"/>
              <w:widowControl w:val="0"/>
              <w:spacing w:before="78" w:line="219" w:lineRule="auto"/>
              <w:ind w:left="8"/>
              <w:jc w:val="center"/>
              <w:rPr>
                <w:rFonts w:hint="eastAsia" w:ascii="宋体" w:hAnsi="宋体" w:eastAsia="宋体" w:cs="宋体"/>
                <w:b w:val="0"/>
                <w:bCs w:val="0"/>
                <w:spacing w:val="7"/>
                <w:sz w:val="28"/>
                <w:szCs w:val="28"/>
              </w:rPr>
            </w:pPr>
          </w:p>
        </w:tc>
        <w:tc>
          <w:tcPr>
            <w:tcW w:w="2249" w:type="dxa"/>
            <w:vAlign w:val="center"/>
          </w:tcPr>
          <w:p w14:paraId="21552CE3">
            <w:pPr>
              <w:pStyle w:val="5"/>
              <w:widowControl w:val="0"/>
              <w:spacing w:before="78" w:line="219" w:lineRule="auto"/>
              <w:ind w:left="8"/>
              <w:jc w:val="center"/>
              <w:rPr>
                <w:rFonts w:hint="eastAsia" w:ascii="宋体" w:hAnsi="宋体" w:eastAsia="宋体" w:cs="宋体"/>
                <w:b w:val="0"/>
                <w:bCs w:val="0"/>
                <w:spacing w:val="7"/>
                <w:sz w:val="28"/>
                <w:szCs w:val="28"/>
              </w:rPr>
            </w:pPr>
          </w:p>
        </w:tc>
        <w:tc>
          <w:tcPr>
            <w:tcW w:w="2713" w:type="dxa"/>
            <w:vAlign w:val="center"/>
          </w:tcPr>
          <w:p w14:paraId="3CFDE60B">
            <w:pPr>
              <w:pStyle w:val="5"/>
              <w:widowControl w:val="0"/>
              <w:spacing w:before="78" w:line="219" w:lineRule="auto"/>
              <w:ind w:left="8"/>
              <w:jc w:val="center"/>
              <w:rPr>
                <w:rFonts w:hint="eastAsia" w:ascii="宋体" w:hAnsi="宋体" w:eastAsia="宋体" w:cs="宋体"/>
                <w:b w:val="0"/>
                <w:bCs w:val="0"/>
                <w:spacing w:val="7"/>
                <w:sz w:val="28"/>
                <w:szCs w:val="28"/>
              </w:rPr>
            </w:pPr>
          </w:p>
        </w:tc>
      </w:tr>
      <w:tr w14:paraId="3D06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3C6FF318">
            <w:pPr>
              <w:pStyle w:val="5"/>
              <w:widowControl w:val="0"/>
              <w:spacing w:before="78" w:line="219" w:lineRule="auto"/>
              <w:ind w:left="8"/>
              <w:jc w:val="center"/>
              <w:rPr>
                <w:rFonts w:hint="eastAsia" w:ascii="宋体" w:hAnsi="宋体" w:eastAsia="宋体" w:cs="宋体"/>
                <w:b w:val="0"/>
                <w:bCs w:val="0"/>
                <w:spacing w:val="7"/>
                <w:sz w:val="28"/>
                <w:szCs w:val="28"/>
              </w:rPr>
            </w:pPr>
          </w:p>
        </w:tc>
        <w:tc>
          <w:tcPr>
            <w:tcW w:w="2727" w:type="dxa"/>
            <w:vAlign w:val="center"/>
          </w:tcPr>
          <w:p w14:paraId="1B13671A">
            <w:pPr>
              <w:pStyle w:val="5"/>
              <w:widowControl w:val="0"/>
              <w:spacing w:before="78" w:line="219" w:lineRule="auto"/>
              <w:ind w:left="8"/>
              <w:jc w:val="center"/>
              <w:rPr>
                <w:rFonts w:hint="eastAsia" w:ascii="宋体" w:hAnsi="宋体" w:eastAsia="宋体" w:cs="宋体"/>
                <w:b w:val="0"/>
                <w:bCs w:val="0"/>
                <w:spacing w:val="7"/>
                <w:sz w:val="28"/>
                <w:szCs w:val="28"/>
              </w:rPr>
            </w:pPr>
          </w:p>
        </w:tc>
        <w:tc>
          <w:tcPr>
            <w:tcW w:w="2249" w:type="dxa"/>
            <w:vAlign w:val="center"/>
          </w:tcPr>
          <w:p w14:paraId="63A514F7">
            <w:pPr>
              <w:pStyle w:val="5"/>
              <w:widowControl w:val="0"/>
              <w:spacing w:before="78" w:line="219" w:lineRule="auto"/>
              <w:ind w:left="8"/>
              <w:jc w:val="center"/>
              <w:rPr>
                <w:rFonts w:hint="eastAsia" w:ascii="宋体" w:hAnsi="宋体" w:eastAsia="宋体" w:cs="宋体"/>
                <w:b w:val="0"/>
                <w:bCs w:val="0"/>
                <w:spacing w:val="7"/>
                <w:sz w:val="28"/>
                <w:szCs w:val="28"/>
              </w:rPr>
            </w:pPr>
          </w:p>
        </w:tc>
        <w:tc>
          <w:tcPr>
            <w:tcW w:w="2713" w:type="dxa"/>
            <w:vAlign w:val="center"/>
          </w:tcPr>
          <w:p w14:paraId="0B2BB157">
            <w:pPr>
              <w:pStyle w:val="5"/>
              <w:widowControl w:val="0"/>
              <w:spacing w:before="78" w:line="219" w:lineRule="auto"/>
              <w:ind w:left="8"/>
              <w:jc w:val="center"/>
              <w:rPr>
                <w:rFonts w:hint="eastAsia" w:ascii="宋体" w:hAnsi="宋体" w:eastAsia="宋体" w:cs="宋体"/>
                <w:b w:val="0"/>
                <w:bCs w:val="0"/>
                <w:spacing w:val="7"/>
                <w:sz w:val="28"/>
                <w:szCs w:val="28"/>
              </w:rPr>
            </w:pPr>
          </w:p>
        </w:tc>
      </w:tr>
      <w:tr w14:paraId="7C78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28663442">
            <w:pPr>
              <w:pStyle w:val="5"/>
              <w:widowControl w:val="0"/>
              <w:spacing w:before="78" w:line="219" w:lineRule="auto"/>
              <w:ind w:left="8"/>
              <w:jc w:val="center"/>
              <w:rPr>
                <w:rFonts w:hint="eastAsia" w:ascii="宋体" w:hAnsi="宋体" w:eastAsia="宋体" w:cs="宋体"/>
                <w:b w:val="0"/>
                <w:bCs w:val="0"/>
                <w:spacing w:val="7"/>
                <w:sz w:val="28"/>
                <w:szCs w:val="28"/>
              </w:rPr>
            </w:pPr>
          </w:p>
        </w:tc>
        <w:tc>
          <w:tcPr>
            <w:tcW w:w="2727" w:type="dxa"/>
            <w:vAlign w:val="center"/>
          </w:tcPr>
          <w:p w14:paraId="2E954E8C">
            <w:pPr>
              <w:pStyle w:val="5"/>
              <w:widowControl w:val="0"/>
              <w:spacing w:before="78" w:line="219" w:lineRule="auto"/>
              <w:ind w:left="8"/>
              <w:jc w:val="center"/>
              <w:rPr>
                <w:rFonts w:hint="eastAsia" w:ascii="宋体" w:hAnsi="宋体" w:eastAsia="宋体" w:cs="宋体"/>
                <w:b w:val="0"/>
                <w:bCs w:val="0"/>
                <w:spacing w:val="7"/>
                <w:sz w:val="28"/>
                <w:szCs w:val="28"/>
              </w:rPr>
            </w:pPr>
          </w:p>
        </w:tc>
        <w:tc>
          <w:tcPr>
            <w:tcW w:w="2249" w:type="dxa"/>
            <w:vAlign w:val="center"/>
          </w:tcPr>
          <w:p w14:paraId="6844D0F1">
            <w:pPr>
              <w:pStyle w:val="5"/>
              <w:widowControl w:val="0"/>
              <w:spacing w:before="78" w:line="219" w:lineRule="auto"/>
              <w:ind w:left="8"/>
              <w:jc w:val="center"/>
              <w:rPr>
                <w:rFonts w:hint="eastAsia" w:ascii="宋体" w:hAnsi="宋体" w:eastAsia="宋体" w:cs="宋体"/>
                <w:b w:val="0"/>
                <w:bCs w:val="0"/>
                <w:spacing w:val="7"/>
                <w:sz w:val="28"/>
                <w:szCs w:val="28"/>
              </w:rPr>
            </w:pPr>
          </w:p>
        </w:tc>
        <w:tc>
          <w:tcPr>
            <w:tcW w:w="2713" w:type="dxa"/>
            <w:vAlign w:val="center"/>
          </w:tcPr>
          <w:p w14:paraId="21A1CFEB">
            <w:pPr>
              <w:pStyle w:val="5"/>
              <w:widowControl w:val="0"/>
              <w:spacing w:before="78" w:line="219" w:lineRule="auto"/>
              <w:ind w:left="8"/>
              <w:jc w:val="center"/>
              <w:rPr>
                <w:rFonts w:hint="eastAsia" w:ascii="宋体" w:hAnsi="宋体" w:eastAsia="宋体" w:cs="宋体"/>
                <w:b w:val="0"/>
                <w:bCs w:val="0"/>
                <w:spacing w:val="7"/>
                <w:sz w:val="28"/>
                <w:szCs w:val="28"/>
              </w:rPr>
            </w:pPr>
          </w:p>
        </w:tc>
      </w:tr>
    </w:tbl>
    <w:p w14:paraId="102B8B27">
      <w:pPr>
        <w:pStyle w:val="5"/>
        <w:spacing w:before="78" w:line="219" w:lineRule="auto"/>
        <w:ind w:left="8"/>
        <w:rPr>
          <w:rFonts w:hint="eastAsia" w:ascii="宋体" w:hAnsi="宋体" w:eastAsia="宋体" w:cs="宋体"/>
          <w:b/>
          <w:bCs/>
          <w:spacing w:val="7"/>
          <w:sz w:val="28"/>
          <w:szCs w:val="28"/>
          <w:lang w:val="en-US" w:eastAsia="zh-CN"/>
        </w:rPr>
      </w:pPr>
      <w:r>
        <w:rPr>
          <w:rFonts w:hint="eastAsia" w:ascii="宋体" w:hAnsi="宋体" w:eastAsia="宋体" w:cs="宋体"/>
          <w:b/>
          <w:bCs/>
          <w:spacing w:val="7"/>
          <w:sz w:val="28"/>
          <w:szCs w:val="28"/>
          <w:lang w:val="en-US" w:eastAsia="zh-CN"/>
        </w:rPr>
        <w:t>注:本次调研技术需求为核心参数，调研供应商不满足本采购项目核心参数的，甲方有权将此供应商评定为无效响应。</w:t>
      </w:r>
    </w:p>
    <w:p w14:paraId="5FE76429">
      <w:pPr>
        <w:rPr>
          <w:rFonts w:hint="eastAsia" w:ascii="宋体" w:hAnsi="宋体" w:eastAsia="宋体" w:cs="宋体"/>
          <w:sz w:val="28"/>
          <w:szCs w:val="28"/>
        </w:rPr>
      </w:pPr>
    </w:p>
    <w:p w14:paraId="0654B0F4">
      <w:pPr>
        <w:rPr>
          <w:rFonts w:hint="eastAsia" w:ascii="宋体" w:hAnsi="宋体" w:eastAsia="宋体"/>
          <w:b/>
          <w:sz w:val="32"/>
          <w:szCs w:val="32"/>
        </w:rPr>
      </w:pPr>
    </w:p>
    <w:p w14:paraId="53F69B3B">
      <w:pPr>
        <w:rPr>
          <w:rFonts w:hint="eastAsia" w:ascii="宋体" w:hAnsi="宋体" w:eastAsia="宋体"/>
          <w:b/>
          <w:sz w:val="32"/>
          <w:szCs w:val="32"/>
        </w:rPr>
      </w:pPr>
    </w:p>
    <w:p w14:paraId="11A5BEA2">
      <w:pPr>
        <w:rPr>
          <w:rFonts w:hint="eastAsia" w:ascii="宋体" w:hAnsi="宋体" w:eastAsia="宋体"/>
          <w:b/>
          <w:sz w:val="32"/>
          <w:szCs w:val="32"/>
        </w:rPr>
      </w:pPr>
    </w:p>
    <w:p w14:paraId="08F9F3D0">
      <w:pPr>
        <w:rPr>
          <w:rFonts w:hint="eastAsia" w:ascii="宋体" w:hAnsi="宋体" w:eastAsia="宋体" w:cs="宋体"/>
          <w:b w:val="0"/>
          <w:bCs w:val="0"/>
          <w:color w:val="auto"/>
          <w:kern w:val="0"/>
          <w:sz w:val="22"/>
          <w:szCs w:val="21"/>
          <w:highlight w:val="none"/>
          <w:lang w:val="en-US" w:eastAsia="zh-CN"/>
        </w:rPr>
      </w:pPr>
    </w:p>
    <w:sectPr>
      <w:pgSz w:w="11906" w:h="16838"/>
      <w:pgMar w:top="1440" w:right="1230" w:bottom="1440" w:left="1230"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MjE3NjMyNTAwNjBlZWJlOGFiM2Q1YjNhZThhYmYifQ=="/>
  </w:docVars>
  <w:rsids>
    <w:rsidRoot w:val="009E28E0"/>
    <w:rsid w:val="0005643D"/>
    <w:rsid w:val="00057AE8"/>
    <w:rsid w:val="00061C4C"/>
    <w:rsid w:val="000C5755"/>
    <w:rsid w:val="00114D1B"/>
    <w:rsid w:val="00130A05"/>
    <w:rsid w:val="00131C34"/>
    <w:rsid w:val="0013266B"/>
    <w:rsid w:val="001421BC"/>
    <w:rsid w:val="001B0CA1"/>
    <w:rsid w:val="001D11E5"/>
    <w:rsid w:val="001E110C"/>
    <w:rsid w:val="00205E5F"/>
    <w:rsid w:val="00207EC3"/>
    <w:rsid w:val="00225C6A"/>
    <w:rsid w:val="0025566E"/>
    <w:rsid w:val="00291E6B"/>
    <w:rsid w:val="002F76CE"/>
    <w:rsid w:val="00303DB6"/>
    <w:rsid w:val="00326FCD"/>
    <w:rsid w:val="00333E03"/>
    <w:rsid w:val="00367106"/>
    <w:rsid w:val="003D687A"/>
    <w:rsid w:val="003E2B18"/>
    <w:rsid w:val="003E7958"/>
    <w:rsid w:val="003F2A82"/>
    <w:rsid w:val="00403B7B"/>
    <w:rsid w:val="00405927"/>
    <w:rsid w:val="00446851"/>
    <w:rsid w:val="00460957"/>
    <w:rsid w:val="00461147"/>
    <w:rsid w:val="00465436"/>
    <w:rsid w:val="00471571"/>
    <w:rsid w:val="00473B24"/>
    <w:rsid w:val="004764EA"/>
    <w:rsid w:val="00497A2B"/>
    <w:rsid w:val="004C61ED"/>
    <w:rsid w:val="004D55EB"/>
    <w:rsid w:val="004D67DC"/>
    <w:rsid w:val="004D75AC"/>
    <w:rsid w:val="004F7626"/>
    <w:rsid w:val="00503CB2"/>
    <w:rsid w:val="00524AF4"/>
    <w:rsid w:val="00534E8B"/>
    <w:rsid w:val="0053723D"/>
    <w:rsid w:val="005558AC"/>
    <w:rsid w:val="00595284"/>
    <w:rsid w:val="005B1674"/>
    <w:rsid w:val="005B3872"/>
    <w:rsid w:val="005C45B8"/>
    <w:rsid w:val="005D2FC4"/>
    <w:rsid w:val="005F02BE"/>
    <w:rsid w:val="005F7C07"/>
    <w:rsid w:val="00600CC5"/>
    <w:rsid w:val="006076F0"/>
    <w:rsid w:val="00607A9D"/>
    <w:rsid w:val="006126D7"/>
    <w:rsid w:val="00631FEF"/>
    <w:rsid w:val="00661547"/>
    <w:rsid w:val="006F0FE7"/>
    <w:rsid w:val="006F2C2D"/>
    <w:rsid w:val="006F34B9"/>
    <w:rsid w:val="0071717E"/>
    <w:rsid w:val="00743D56"/>
    <w:rsid w:val="007625D0"/>
    <w:rsid w:val="0076645A"/>
    <w:rsid w:val="00787F09"/>
    <w:rsid w:val="007F0486"/>
    <w:rsid w:val="00845E6F"/>
    <w:rsid w:val="008477EF"/>
    <w:rsid w:val="00881CE5"/>
    <w:rsid w:val="0089380F"/>
    <w:rsid w:val="008957FD"/>
    <w:rsid w:val="008A5054"/>
    <w:rsid w:val="008C7271"/>
    <w:rsid w:val="0090754F"/>
    <w:rsid w:val="00910124"/>
    <w:rsid w:val="0091396C"/>
    <w:rsid w:val="00950443"/>
    <w:rsid w:val="00950F78"/>
    <w:rsid w:val="00960704"/>
    <w:rsid w:val="0097444F"/>
    <w:rsid w:val="00992153"/>
    <w:rsid w:val="009A29B7"/>
    <w:rsid w:val="009A4BA8"/>
    <w:rsid w:val="009B4409"/>
    <w:rsid w:val="009C78A0"/>
    <w:rsid w:val="009D6042"/>
    <w:rsid w:val="009E28E0"/>
    <w:rsid w:val="009F1380"/>
    <w:rsid w:val="009F2EAD"/>
    <w:rsid w:val="00A064E5"/>
    <w:rsid w:val="00A12485"/>
    <w:rsid w:val="00A21E7F"/>
    <w:rsid w:val="00A37B3B"/>
    <w:rsid w:val="00A66948"/>
    <w:rsid w:val="00A70125"/>
    <w:rsid w:val="00A826C0"/>
    <w:rsid w:val="00A82BFD"/>
    <w:rsid w:val="00A86A06"/>
    <w:rsid w:val="00A975C9"/>
    <w:rsid w:val="00AB30DC"/>
    <w:rsid w:val="00AB66C4"/>
    <w:rsid w:val="00AC32D5"/>
    <w:rsid w:val="00AE7333"/>
    <w:rsid w:val="00B265E0"/>
    <w:rsid w:val="00B42C73"/>
    <w:rsid w:val="00B4728A"/>
    <w:rsid w:val="00B53D6B"/>
    <w:rsid w:val="00B768C4"/>
    <w:rsid w:val="00B846C2"/>
    <w:rsid w:val="00B91206"/>
    <w:rsid w:val="00BB6951"/>
    <w:rsid w:val="00BE2045"/>
    <w:rsid w:val="00C45522"/>
    <w:rsid w:val="00C71D50"/>
    <w:rsid w:val="00C82D2F"/>
    <w:rsid w:val="00C91463"/>
    <w:rsid w:val="00C9249C"/>
    <w:rsid w:val="00C93676"/>
    <w:rsid w:val="00C958F3"/>
    <w:rsid w:val="00CA7A02"/>
    <w:rsid w:val="00CB0C5B"/>
    <w:rsid w:val="00CD0C37"/>
    <w:rsid w:val="00CD7AA2"/>
    <w:rsid w:val="00CF08E4"/>
    <w:rsid w:val="00CF24F1"/>
    <w:rsid w:val="00D2039F"/>
    <w:rsid w:val="00D30003"/>
    <w:rsid w:val="00D661A0"/>
    <w:rsid w:val="00D70582"/>
    <w:rsid w:val="00D75F9C"/>
    <w:rsid w:val="00DB0863"/>
    <w:rsid w:val="00DB2D91"/>
    <w:rsid w:val="00DB6C3A"/>
    <w:rsid w:val="00DC5C35"/>
    <w:rsid w:val="00DD0D66"/>
    <w:rsid w:val="00DD53FE"/>
    <w:rsid w:val="00DE364B"/>
    <w:rsid w:val="00DF325A"/>
    <w:rsid w:val="00E22568"/>
    <w:rsid w:val="00E2357D"/>
    <w:rsid w:val="00E2619D"/>
    <w:rsid w:val="00E264B2"/>
    <w:rsid w:val="00E30121"/>
    <w:rsid w:val="00E61B1E"/>
    <w:rsid w:val="00E64213"/>
    <w:rsid w:val="00E8739F"/>
    <w:rsid w:val="00EA000C"/>
    <w:rsid w:val="00EC1C89"/>
    <w:rsid w:val="00F22DAB"/>
    <w:rsid w:val="00F23C45"/>
    <w:rsid w:val="00F30FE4"/>
    <w:rsid w:val="00F35397"/>
    <w:rsid w:val="00F44F47"/>
    <w:rsid w:val="00F73639"/>
    <w:rsid w:val="00F87FAD"/>
    <w:rsid w:val="00F932F5"/>
    <w:rsid w:val="00FA5F7C"/>
    <w:rsid w:val="00FB5BC0"/>
    <w:rsid w:val="00FF7742"/>
    <w:rsid w:val="015C7627"/>
    <w:rsid w:val="023F3D04"/>
    <w:rsid w:val="027A7E90"/>
    <w:rsid w:val="03086AA8"/>
    <w:rsid w:val="03B428D9"/>
    <w:rsid w:val="03CB4A6E"/>
    <w:rsid w:val="04390945"/>
    <w:rsid w:val="048836E4"/>
    <w:rsid w:val="04BF7739"/>
    <w:rsid w:val="05174536"/>
    <w:rsid w:val="051C1CCF"/>
    <w:rsid w:val="05AF74E4"/>
    <w:rsid w:val="0602775D"/>
    <w:rsid w:val="06BF55DE"/>
    <w:rsid w:val="07E32F33"/>
    <w:rsid w:val="08D86BA6"/>
    <w:rsid w:val="08E645CB"/>
    <w:rsid w:val="08EE1667"/>
    <w:rsid w:val="0C4B47E3"/>
    <w:rsid w:val="0C7B4810"/>
    <w:rsid w:val="0D3C594E"/>
    <w:rsid w:val="0DA31A5E"/>
    <w:rsid w:val="0EBC5656"/>
    <w:rsid w:val="0F0D5446"/>
    <w:rsid w:val="0F1A5A6D"/>
    <w:rsid w:val="0F265295"/>
    <w:rsid w:val="0F440DF3"/>
    <w:rsid w:val="0F562245"/>
    <w:rsid w:val="0FB70159"/>
    <w:rsid w:val="0FCA0775"/>
    <w:rsid w:val="100D7DF3"/>
    <w:rsid w:val="10515FB7"/>
    <w:rsid w:val="105274EC"/>
    <w:rsid w:val="10DA1268"/>
    <w:rsid w:val="117A4716"/>
    <w:rsid w:val="11AA3591"/>
    <w:rsid w:val="11BC51A7"/>
    <w:rsid w:val="13002AAD"/>
    <w:rsid w:val="13180F89"/>
    <w:rsid w:val="135C425F"/>
    <w:rsid w:val="13E2572F"/>
    <w:rsid w:val="13F17C5D"/>
    <w:rsid w:val="143E1D85"/>
    <w:rsid w:val="147C4F0D"/>
    <w:rsid w:val="14946651"/>
    <w:rsid w:val="156B5A3C"/>
    <w:rsid w:val="15CB7687"/>
    <w:rsid w:val="15D425C8"/>
    <w:rsid w:val="16BB0CE6"/>
    <w:rsid w:val="176B67B5"/>
    <w:rsid w:val="18133ACD"/>
    <w:rsid w:val="1864557B"/>
    <w:rsid w:val="188603D7"/>
    <w:rsid w:val="18A37909"/>
    <w:rsid w:val="1A0A7FA6"/>
    <w:rsid w:val="1B5E2FB7"/>
    <w:rsid w:val="1B5E36F0"/>
    <w:rsid w:val="1BB7080F"/>
    <w:rsid w:val="1BD80E34"/>
    <w:rsid w:val="1C1C62ED"/>
    <w:rsid w:val="1C9069DB"/>
    <w:rsid w:val="1D484EC5"/>
    <w:rsid w:val="1F3A2950"/>
    <w:rsid w:val="1F3F33F9"/>
    <w:rsid w:val="1F712D54"/>
    <w:rsid w:val="206C6B4C"/>
    <w:rsid w:val="215010A1"/>
    <w:rsid w:val="2257651A"/>
    <w:rsid w:val="229C464B"/>
    <w:rsid w:val="22B76683"/>
    <w:rsid w:val="23105163"/>
    <w:rsid w:val="23486661"/>
    <w:rsid w:val="23B4688F"/>
    <w:rsid w:val="24056D3A"/>
    <w:rsid w:val="2419690F"/>
    <w:rsid w:val="248C60AC"/>
    <w:rsid w:val="251025A7"/>
    <w:rsid w:val="25756EE1"/>
    <w:rsid w:val="258411B1"/>
    <w:rsid w:val="25C67ABF"/>
    <w:rsid w:val="26A22DDF"/>
    <w:rsid w:val="26C068BF"/>
    <w:rsid w:val="272E3C08"/>
    <w:rsid w:val="277B4352"/>
    <w:rsid w:val="27F665D9"/>
    <w:rsid w:val="28767898"/>
    <w:rsid w:val="2BF92F49"/>
    <w:rsid w:val="2C032EBB"/>
    <w:rsid w:val="2C4C3F30"/>
    <w:rsid w:val="2C7E7C1C"/>
    <w:rsid w:val="2CAB0CAB"/>
    <w:rsid w:val="2CED4463"/>
    <w:rsid w:val="2D861347"/>
    <w:rsid w:val="2E7D2441"/>
    <w:rsid w:val="2ECF2A5B"/>
    <w:rsid w:val="2F68699C"/>
    <w:rsid w:val="302F17A2"/>
    <w:rsid w:val="30E402EC"/>
    <w:rsid w:val="31135E32"/>
    <w:rsid w:val="31A57A34"/>
    <w:rsid w:val="3251196A"/>
    <w:rsid w:val="32597553"/>
    <w:rsid w:val="33306366"/>
    <w:rsid w:val="33E86CDD"/>
    <w:rsid w:val="3467634A"/>
    <w:rsid w:val="34AB2E1A"/>
    <w:rsid w:val="34C96DA4"/>
    <w:rsid w:val="35833CCA"/>
    <w:rsid w:val="358F6F80"/>
    <w:rsid w:val="35AD13F2"/>
    <w:rsid w:val="368073AD"/>
    <w:rsid w:val="37CB7D16"/>
    <w:rsid w:val="387301A5"/>
    <w:rsid w:val="38A54876"/>
    <w:rsid w:val="3A380987"/>
    <w:rsid w:val="3A6F7A25"/>
    <w:rsid w:val="3AE91CE0"/>
    <w:rsid w:val="3B143534"/>
    <w:rsid w:val="3B402EA0"/>
    <w:rsid w:val="3B8F7246"/>
    <w:rsid w:val="3BE30A83"/>
    <w:rsid w:val="3D63181B"/>
    <w:rsid w:val="3F0721A2"/>
    <w:rsid w:val="3FD262C9"/>
    <w:rsid w:val="412511C5"/>
    <w:rsid w:val="42AE68EF"/>
    <w:rsid w:val="42E17FF5"/>
    <w:rsid w:val="43554659"/>
    <w:rsid w:val="43B25214"/>
    <w:rsid w:val="44590F8B"/>
    <w:rsid w:val="456838CB"/>
    <w:rsid w:val="465E7D59"/>
    <w:rsid w:val="46716FCF"/>
    <w:rsid w:val="46753923"/>
    <w:rsid w:val="480E19C4"/>
    <w:rsid w:val="48F27348"/>
    <w:rsid w:val="492F4B99"/>
    <w:rsid w:val="4A085E8C"/>
    <w:rsid w:val="4A4A2F80"/>
    <w:rsid w:val="4ACA3C0F"/>
    <w:rsid w:val="4B5F5088"/>
    <w:rsid w:val="4B6D570B"/>
    <w:rsid w:val="4C6979BC"/>
    <w:rsid w:val="4C8A6EEA"/>
    <w:rsid w:val="4D1B4BF6"/>
    <w:rsid w:val="4DBD1B16"/>
    <w:rsid w:val="4DE922DD"/>
    <w:rsid w:val="4F636B6E"/>
    <w:rsid w:val="50B734D4"/>
    <w:rsid w:val="50F63089"/>
    <w:rsid w:val="51AB0D62"/>
    <w:rsid w:val="51B25298"/>
    <w:rsid w:val="52DB08F7"/>
    <w:rsid w:val="52E87307"/>
    <w:rsid w:val="530715D8"/>
    <w:rsid w:val="53A014D2"/>
    <w:rsid w:val="546A300E"/>
    <w:rsid w:val="55EB5A4E"/>
    <w:rsid w:val="561D4EF5"/>
    <w:rsid w:val="566A21DB"/>
    <w:rsid w:val="572F3748"/>
    <w:rsid w:val="57DA6FDA"/>
    <w:rsid w:val="58AE7C3F"/>
    <w:rsid w:val="59815DE1"/>
    <w:rsid w:val="5A4C6DE7"/>
    <w:rsid w:val="5A686FE6"/>
    <w:rsid w:val="5A9F374A"/>
    <w:rsid w:val="5AE84D39"/>
    <w:rsid w:val="5BA2216C"/>
    <w:rsid w:val="5CAA4817"/>
    <w:rsid w:val="5DBF3D4D"/>
    <w:rsid w:val="5F177FA0"/>
    <w:rsid w:val="60BD2EBC"/>
    <w:rsid w:val="615B7C8A"/>
    <w:rsid w:val="62333F82"/>
    <w:rsid w:val="624D2D49"/>
    <w:rsid w:val="6269416D"/>
    <w:rsid w:val="62E33669"/>
    <w:rsid w:val="631A500A"/>
    <w:rsid w:val="63E56C5D"/>
    <w:rsid w:val="641C32D6"/>
    <w:rsid w:val="646B31C9"/>
    <w:rsid w:val="64B81FCE"/>
    <w:rsid w:val="657E36D4"/>
    <w:rsid w:val="66410E7A"/>
    <w:rsid w:val="667F7E58"/>
    <w:rsid w:val="66860161"/>
    <w:rsid w:val="67566BA5"/>
    <w:rsid w:val="676C1CF1"/>
    <w:rsid w:val="6872102E"/>
    <w:rsid w:val="68B1531A"/>
    <w:rsid w:val="6992608B"/>
    <w:rsid w:val="6C2D0BA7"/>
    <w:rsid w:val="6C6E3009"/>
    <w:rsid w:val="6C891725"/>
    <w:rsid w:val="6E181C56"/>
    <w:rsid w:val="6F0B781E"/>
    <w:rsid w:val="6FF13869"/>
    <w:rsid w:val="71F86C5B"/>
    <w:rsid w:val="724C1F0A"/>
    <w:rsid w:val="73763A63"/>
    <w:rsid w:val="739F6642"/>
    <w:rsid w:val="73B96EC6"/>
    <w:rsid w:val="744B4A65"/>
    <w:rsid w:val="745E38FE"/>
    <w:rsid w:val="746D6B4C"/>
    <w:rsid w:val="74B02831"/>
    <w:rsid w:val="74C40265"/>
    <w:rsid w:val="752C637B"/>
    <w:rsid w:val="75C57F00"/>
    <w:rsid w:val="76212C0B"/>
    <w:rsid w:val="76EF40BB"/>
    <w:rsid w:val="785673EC"/>
    <w:rsid w:val="798C645B"/>
    <w:rsid w:val="79F510D6"/>
    <w:rsid w:val="7A0C10C4"/>
    <w:rsid w:val="7AB868FC"/>
    <w:rsid w:val="7AD360C4"/>
    <w:rsid w:val="7B421B4F"/>
    <w:rsid w:val="7B7535A0"/>
    <w:rsid w:val="7BA92127"/>
    <w:rsid w:val="7BCA7A49"/>
    <w:rsid w:val="7BE01038"/>
    <w:rsid w:val="7C5A635B"/>
    <w:rsid w:val="7C8C1939"/>
    <w:rsid w:val="7E177251"/>
    <w:rsid w:val="7EA67524"/>
    <w:rsid w:val="7F1C3B11"/>
    <w:rsid w:val="7FD648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libri Light" w:hAnsi="Calibri Light"/>
      <w:b/>
      <w:bCs/>
      <w:sz w:val="32"/>
      <w:szCs w:val="32"/>
    </w:rPr>
  </w:style>
  <w:style w:type="paragraph" w:styleId="4">
    <w:name w:val="annotation text"/>
    <w:basedOn w:val="1"/>
    <w:link w:val="23"/>
    <w:semiHidden/>
    <w:unhideWhenUsed/>
    <w:qFormat/>
    <w:uiPriority w:val="99"/>
    <w:pPr>
      <w:jc w:val="left"/>
    </w:pPr>
  </w:style>
  <w:style w:type="paragraph" w:styleId="5">
    <w:name w:val="Body Text"/>
    <w:basedOn w:val="1"/>
    <w:semiHidden/>
    <w:qFormat/>
    <w:uiPriority w:val="0"/>
    <w:rPr>
      <w:rFonts w:ascii="宋体" w:hAnsi="宋体" w:eastAsia="宋体" w:cs="宋体"/>
      <w:sz w:val="19"/>
      <w:szCs w:val="19"/>
      <w:lang w:val="en-US" w:eastAsia="en-US" w:bidi="ar-SA"/>
    </w:rPr>
  </w:style>
  <w:style w:type="paragraph" w:styleId="6">
    <w:name w:val="Balloon Text"/>
    <w:basedOn w:val="1"/>
    <w:link w:val="25"/>
    <w:semiHidden/>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Message Header"/>
    <w:basedOn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Cs w:val="24"/>
    </w:rPr>
  </w:style>
  <w:style w:type="paragraph" w:styleId="10">
    <w:name w:val="Normal (Web)"/>
    <w:basedOn w:val="1"/>
    <w:semiHidden/>
    <w:unhideWhenUsed/>
    <w:qFormat/>
    <w:uiPriority w:val="99"/>
    <w:pPr>
      <w:spacing w:beforeAutospacing="1" w:afterAutospacing="1"/>
      <w:jc w:val="left"/>
    </w:pPr>
    <w:rPr>
      <w:kern w:val="0"/>
      <w:sz w:val="24"/>
    </w:rPr>
  </w:style>
  <w:style w:type="paragraph" w:styleId="11">
    <w:name w:val="annotation subject"/>
    <w:basedOn w:val="4"/>
    <w:next w:val="4"/>
    <w:link w:val="24"/>
    <w:semiHidden/>
    <w:unhideWhenUsed/>
    <w:qFormat/>
    <w:uiPriority w:val="99"/>
    <w:rPr>
      <w:b/>
      <w:bC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annotation reference"/>
    <w:basedOn w:val="14"/>
    <w:semiHidden/>
    <w:unhideWhenUsed/>
    <w:qFormat/>
    <w:uiPriority w:val="99"/>
    <w:rPr>
      <w:sz w:val="21"/>
      <w:szCs w:val="21"/>
    </w:rPr>
  </w:style>
  <w:style w:type="paragraph" w:customStyle="1" w:styleId="1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9">
    <w:name w:val="Normal Indent1"/>
    <w:basedOn w:val="1"/>
    <w:qFormat/>
    <w:uiPriority w:val="0"/>
    <w:pPr>
      <w:ind w:firstLine="420" w:firstLineChars="200"/>
    </w:pPr>
  </w:style>
  <w:style w:type="character" w:customStyle="1" w:styleId="20">
    <w:name w:val="页眉 字符"/>
    <w:basedOn w:val="14"/>
    <w:link w:val="8"/>
    <w:qFormat/>
    <w:uiPriority w:val="99"/>
    <w:rPr>
      <w:sz w:val="18"/>
      <w:szCs w:val="18"/>
    </w:rPr>
  </w:style>
  <w:style w:type="character" w:customStyle="1" w:styleId="21">
    <w:name w:val="页脚 字符"/>
    <w:basedOn w:val="14"/>
    <w:link w:val="7"/>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批注文字 字符"/>
    <w:basedOn w:val="14"/>
    <w:link w:val="4"/>
    <w:semiHidden/>
    <w:qFormat/>
    <w:uiPriority w:val="99"/>
    <w:rPr>
      <w:rFonts w:ascii="Calibri" w:hAnsi="Calibri" w:eastAsia="宋体" w:cs="Times New Roman"/>
    </w:rPr>
  </w:style>
  <w:style w:type="character" w:customStyle="1" w:styleId="24">
    <w:name w:val="批注主题 字符"/>
    <w:basedOn w:val="23"/>
    <w:link w:val="11"/>
    <w:semiHidden/>
    <w:qFormat/>
    <w:uiPriority w:val="99"/>
    <w:rPr>
      <w:rFonts w:ascii="Calibri" w:hAnsi="Calibri" w:eastAsia="宋体" w:cs="Times New Roman"/>
      <w:b/>
      <w:bCs/>
    </w:rPr>
  </w:style>
  <w:style w:type="character" w:customStyle="1" w:styleId="25">
    <w:name w:val="批注框文本 字符"/>
    <w:basedOn w:val="14"/>
    <w:link w:val="6"/>
    <w:semiHidden/>
    <w:qFormat/>
    <w:uiPriority w:val="99"/>
    <w:rPr>
      <w:rFonts w:ascii="Calibri" w:hAnsi="Calibri" w:eastAsia="宋体" w:cs="Times New Roman"/>
      <w:sz w:val="18"/>
      <w:szCs w:val="18"/>
    </w:rPr>
  </w:style>
  <w:style w:type="character" w:customStyle="1" w:styleId="26">
    <w:name w:val="font51"/>
    <w:basedOn w:val="14"/>
    <w:qFormat/>
    <w:uiPriority w:val="0"/>
    <w:rPr>
      <w:rFonts w:hint="eastAsia" w:ascii="微软雅黑" w:hAnsi="微软雅黑" w:eastAsia="微软雅黑" w:cs="微软雅黑"/>
      <w:color w:val="000000"/>
      <w:sz w:val="22"/>
      <w:szCs w:val="22"/>
      <w:u w:val="none"/>
    </w:rPr>
  </w:style>
  <w:style w:type="character" w:customStyle="1" w:styleId="27">
    <w:name w:val="font61"/>
    <w:basedOn w:val="14"/>
    <w:qFormat/>
    <w:uiPriority w:val="0"/>
    <w:rPr>
      <w:rFonts w:hint="eastAsia" w:ascii="微软雅黑" w:hAnsi="微软雅黑" w:eastAsia="微软雅黑" w:cs="微软雅黑"/>
      <w:color w:val="000000"/>
      <w:sz w:val="22"/>
      <w:szCs w:val="22"/>
      <w:u w:val="none"/>
    </w:rPr>
  </w:style>
  <w:style w:type="character" w:customStyle="1" w:styleId="28">
    <w:name w:val="font11"/>
    <w:basedOn w:val="14"/>
    <w:qFormat/>
    <w:uiPriority w:val="0"/>
    <w:rPr>
      <w:rFonts w:hint="eastAsia" w:ascii="宋体" w:hAnsi="宋体" w:eastAsia="宋体" w:cs="宋体"/>
      <w:color w:val="000000"/>
      <w:sz w:val="24"/>
      <w:szCs w:val="24"/>
      <w:u w:val="none"/>
    </w:rPr>
  </w:style>
  <w:style w:type="character" w:customStyle="1" w:styleId="29">
    <w:name w:val="font41"/>
    <w:basedOn w:val="14"/>
    <w:qFormat/>
    <w:uiPriority w:val="0"/>
    <w:rPr>
      <w:rFonts w:hint="eastAsia" w:ascii="宋体" w:hAnsi="宋体" w:eastAsia="宋体" w:cs="宋体"/>
      <w:color w:val="000000"/>
      <w:sz w:val="18"/>
      <w:szCs w:val="18"/>
      <w:u w:val="none"/>
    </w:rPr>
  </w:style>
  <w:style w:type="table" w:customStyle="1" w:styleId="3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4321</Words>
  <Characters>4563</Characters>
  <Lines>6</Lines>
  <Paragraphs>1</Paragraphs>
  <TotalTime>4</TotalTime>
  <ScaleCrop>false</ScaleCrop>
  <LinksUpToDate>false</LinksUpToDate>
  <CharactersWithSpaces>4598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2021-05-07T02:18:00Z</dcterms:created>
  <dc:creator>NTKO</dc:creator>
  <cp:lastModifiedBy>珈琲</cp:lastModifiedBy>
  <cp:lastPrinted>2021-05-14T06:56:00Z</cp:lastPrinted>
  <dcterms:modified xsi:type="dcterms:W3CDTF">2025-06-16T01:25:08Z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6700A3B7BFE0403C90B4421FABF7C9C7_13</vt:lpwstr>
  </property>
  <property fmtid="{D5CDD505-2E9C-101B-9397-08002B2CF9AE}" pid="4" name="KSOTemplateDocerSaveRecord">
    <vt:lpwstr>eyJoZGlkIjoiMTZiZThkNGRjMzcyOTZiNGRkODdkZjQ0ZTU3NmI0YzciLCJ1c2VySWQiOiI3MTMyNjcyNzcifQ==</vt:lpwstr>
  </property>
</Properties>
</file>